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9297" w14:textId="41786CC0" w:rsidR="002E6DD0" w:rsidRDefault="00B119AE" w:rsidP="002E6DD0">
      <w:pPr>
        <w:spacing w:line="276" w:lineRule="auto"/>
        <w:jc w:val="right"/>
        <w:rPr>
          <w:i/>
          <w:noProof/>
          <w:sz w:val="72"/>
          <w:szCs w:val="72"/>
        </w:rPr>
      </w:pPr>
      <w:r w:rsidRPr="00A722E5">
        <w:rPr>
          <w:b/>
          <w:noProof/>
          <w:sz w:val="22"/>
          <w:szCs w:val="22"/>
        </w:rPr>
        <w:drawing>
          <wp:anchor distT="0" distB="0" distL="114300" distR="114300" simplePos="0" relativeHeight="251662336" behindDoc="0" locked="0" layoutInCell="1" allowOverlap="0" wp14:anchorId="6A3F837E" wp14:editId="1E2C95CA">
            <wp:simplePos x="0" y="0"/>
            <wp:positionH relativeFrom="column">
              <wp:posOffset>290195</wp:posOffset>
            </wp:positionH>
            <wp:positionV relativeFrom="paragraph">
              <wp:posOffset>47625</wp:posOffset>
            </wp:positionV>
            <wp:extent cx="1036320" cy="114681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drawing>
          <wp:inline distT="0" distB="0" distL="0" distR="0" wp14:anchorId="52F339E9" wp14:editId="580189D1">
            <wp:extent cx="1626919" cy="110429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824" cy="1106271"/>
                    </a:xfrm>
                    <a:prstGeom prst="rect">
                      <a:avLst/>
                    </a:prstGeom>
                    <a:noFill/>
                    <a:ln>
                      <a:noFill/>
                    </a:ln>
                  </pic:spPr>
                </pic:pic>
              </a:graphicData>
            </a:graphic>
          </wp:inline>
        </w:drawing>
      </w:r>
      <w:r>
        <w:rPr>
          <w:b/>
          <w:color w:val="FF0000"/>
          <w:sz w:val="22"/>
          <w:szCs w:val="22"/>
          <w:lang w:eastAsia="x-none"/>
        </w:rPr>
        <w:tab/>
        <w:t xml:space="preserve">     </w:t>
      </w:r>
      <w:r>
        <w:rPr>
          <w:noProof/>
        </w:rPr>
        <w:drawing>
          <wp:inline distT="0" distB="0" distL="0" distR="0" wp14:anchorId="4E10FF86" wp14:editId="43F0EB96">
            <wp:extent cx="1852196" cy="118753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60492" cy="1192851"/>
                    </a:xfrm>
                    <a:prstGeom prst="rect">
                      <a:avLst/>
                    </a:prstGeom>
                  </pic:spPr>
                </pic:pic>
              </a:graphicData>
            </a:graphic>
          </wp:inline>
        </w:drawing>
      </w:r>
      <w:r w:rsidR="002E6DD0">
        <w:rPr>
          <w:b/>
          <w:color w:val="FF0000"/>
          <w:sz w:val="22"/>
          <w:szCs w:val="22"/>
          <w:lang w:eastAsia="x-none"/>
        </w:rPr>
        <w:t xml:space="preserve">  </w:t>
      </w:r>
    </w:p>
    <w:p w14:paraId="44B79410" w14:textId="77777777" w:rsidR="0054004D" w:rsidRPr="002E6DD0" w:rsidRDefault="0054004D" w:rsidP="002E6DD0">
      <w:pPr>
        <w:spacing w:line="276" w:lineRule="auto"/>
        <w:jc w:val="right"/>
        <w:rPr>
          <w:b/>
          <w:color w:val="FF0000"/>
          <w:sz w:val="22"/>
          <w:szCs w:val="22"/>
          <w:lang w:eastAsia="x-none"/>
        </w:rPr>
      </w:pP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3EBDC4D6" w:rsidR="00DD04DC" w:rsidRPr="00A722E5" w:rsidRDefault="00013A1E" w:rsidP="00A722E5">
      <w:pPr>
        <w:widowControl w:val="0"/>
        <w:autoSpaceDE w:val="0"/>
        <w:autoSpaceDN w:val="0"/>
        <w:adjustRightInd w:val="0"/>
        <w:spacing w:line="276" w:lineRule="auto"/>
        <w:rPr>
          <w:sz w:val="22"/>
          <w:szCs w:val="22"/>
        </w:rPr>
      </w:pPr>
      <w:r>
        <w:rPr>
          <w:sz w:val="22"/>
          <w:szCs w:val="22"/>
        </w:rPr>
        <w:t>numer sprawy: ZP.271.07</w:t>
      </w:r>
      <w:r w:rsidR="00CF0F2E">
        <w:rPr>
          <w:sz w:val="22"/>
          <w:szCs w:val="22"/>
        </w:rPr>
        <w:t>.2020</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04EA3BCE" w14:textId="0693ED3E" w:rsidR="00DD04DC" w:rsidRPr="00042F5A" w:rsidRDefault="0010783A" w:rsidP="00A722E5">
      <w:pPr>
        <w:widowControl w:val="0"/>
        <w:autoSpaceDE w:val="0"/>
        <w:autoSpaceDN w:val="0"/>
        <w:adjustRightInd w:val="0"/>
        <w:spacing w:line="276" w:lineRule="auto"/>
        <w:jc w:val="center"/>
        <w:rPr>
          <w:b/>
          <w:sz w:val="22"/>
          <w:szCs w:val="22"/>
        </w:rPr>
      </w:pPr>
      <w:r>
        <w:rPr>
          <w:b/>
        </w:rPr>
        <w:t>Przebudowa  świetlic wiejskich w Zwierzynie i w Górkach Noteckich</w:t>
      </w:r>
      <w:r w:rsidR="0011350B">
        <w:rPr>
          <w:b/>
        </w:rPr>
        <w:t xml:space="preserve"> – w systemie „zaprojektuj i wybuduj”</w:t>
      </w: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41825234" w:rsidR="00DD04DC" w:rsidRPr="0054004D"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 xml:space="preserve">Postępowanie o udzielenie zamówienia publicznego prowadzone jest w trybie przetargu nieograniczonego na podstawie art.10 ust.1 i 39 ustawy z dnia 29 stycznia 2004 roku – Prawo </w:t>
      </w:r>
      <w:r w:rsidRPr="0054004D">
        <w:rPr>
          <w:rFonts w:eastAsia="Calibri"/>
          <w:bCs/>
          <w:color w:val="000000"/>
          <w:sz w:val="22"/>
          <w:szCs w:val="22"/>
        </w:rPr>
        <w:t xml:space="preserve">zamówień publicznych </w:t>
      </w:r>
      <w:hyperlink r:id="rId12" w:history="1">
        <w:r w:rsidR="00CF0F2E" w:rsidRPr="00C94C5E">
          <w:rPr>
            <w:rStyle w:val="Hipercze"/>
            <w:bCs/>
            <w:color w:val="000000" w:themeColor="text1"/>
            <w:u w:val="none"/>
            <w:shd w:val="clear" w:color="auto" w:fill="FFFFFF"/>
          </w:rPr>
          <w:t>(</w:t>
        </w:r>
        <w:hyperlink r:id="rId13" w:history="1">
          <w:r w:rsidR="00CF0F2E" w:rsidRPr="00C94C5E">
            <w:rPr>
              <w:rStyle w:val="Hipercze"/>
              <w:bCs/>
              <w:color w:val="000000" w:themeColor="text1"/>
              <w:u w:val="none"/>
              <w:shd w:val="clear" w:color="auto" w:fill="FFFFFF"/>
            </w:rPr>
            <w:t>Dz.U. z 2019r. poz. 1843)</w:t>
          </w:r>
        </w:hyperlink>
      </w:hyperlink>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77777777" w:rsidR="00015332" w:rsidRPr="00A722E5" w:rsidRDefault="00015332" w:rsidP="00A722E5">
      <w:pPr>
        <w:spacing w:line="276" w:lineRule="auto"/>
        <w:rPr>
          <w:sz w:val="22"/>
          <w:szCs w:val="22"/>
        </w:rPr>
      </w:pP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68FA6580"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r w:rsidR="0022462A">
        <w:rPr>
          <w:sz w:val="22"/>
          <w:szCs w:val="22"/>
        </w:rPr>
        <w:t>/ usług</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4B810C58" w:rsidR="0010276F"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sidR="006E14A1">
        <w:rPr>
          <w:sz w:val="22"/>
          <w:szCs w:val="22"/>
        </w:rPr>
        <w:t xml:space="preserve">Program </w:t>
      </w:r>
      <w:proofErr w:type="spellStart"/>
      <w:r w:rsidR="006E14A1">
        <w:rPr>
          <w:sz w:val="22"/>
          <w:szCs w:val="22"/>
        </w:rPr>
        <w:t>Funkcjonalno</w:t>
      </w:r>
      <w:proofErr w:type="spellEnd"/>
      <w:r w:rsidR="006E14A1">
        <w:rPr>
          <w:sz w:val="22"/>
          <w:szCs w:val="22"/>
        </w:rPr>
        <w:t xml:space="preserve"> Użytkowy</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6BD8A359"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4" w:history="1">
        <w:r w:rsidR="007A07B8" w:rsidRPr="006A655B">
          <w:rPr>
            <w:rStyle w:val="Hipercze"/>
            <w:sz w:val="22"/>
            <w:szCs w:val="22"/>
            <w:highlight w:val="white"/>
          </w:rPr>
          <w:t>www.bip.zwierzyn</w:t>
        </w:r>
        <w:r w:rsidR="007A07B8" w:rsidRPr="006A655B">
          <w:rPr>
            <w:rStyle w:val="Hipercze"/>
            <w:sz w:val="22"/>
            <w:szCs w:val="22"/>
          </w:rPr>
          <w:t>.pl</w:t>
        </w:r>
      </w:hyperlink>
      <w:r w:rsidR="007A07B8">
        <w:rPr>
          <w:sz w:val="22"/>
          <w:szCs w:val="22"/>
        </w:rPr>
        <w:t xml:space="preserve"> </w:t>
      </w:r>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491DF119"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10783A">
        <w:rPr>
          <w:b/>
          <w:bCs/>
          <w:sz w:val="22"/>
          <w:szCs w:val="22"/>
        </w:rPr>
        <w:t>ZP.271.7</w:t>
      </w:r>
      <w:r w:rsidR="00CF0F2E">
        <w:rPr>
          <w:b/>
          <w:bCs/>
          <w:sz w:val="22"/>
          <w:szCs w:val="22"/>
        </w:rPr>
        <w:t>.2020</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27C59F79"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9A6132">
        <w:rPr>
          <w:sz w:val="22"/>
          <w:szCs w:val="22"/>
        </w:rPr>
        <w:t xml:space="preserve">ówień Publicznych </w:t>
      </w:r>
      <w:r w:rsidR="00CF0F2E">
        <w:rPr>
          <w:sz w:val="22"/>
          <w:szCs w:val="22"/>
        </w:rPr>
        <w:t>(Dz.U. z 2019r. poz. 1843)</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4674FFD1" w14:textId="1CDB4C8E" w:rsidR="00015332" w:rsidRPr="002E6DD0" w:rsidRDefault="00A64A63" w:rsidP="00C044D7">
      <w:pPr>
        <w:spacing w:line="276" w:lineRule="auto"/>
        <w:ind w:left="709"/>
        <w:jc w:val="both"/>
        <w:rPr>
          <w:sz w:val="22"/>
          <w:szCs w:val="22"/>
        </w:rPr>
      </w:pPr>
      <w:r w:rsidRPr="002E6DD0">
        <w:rPr>
          <w:sz w:val="22"/>
          <w:szCs w:val="22"/>
        </w:rPr>
        <w:t>Projekt współfinansowany</w:t>
      </w:r>
      <w:r w:rsidR="007B1E75">
        <w:rPr>
          <w:sz w:val="22"/>
          <w:szCs w:val="22"/>
        </w:rPr>
        <w:t xml:space="preserve"> ze środków</w:t>
      </w:r>
      <w:r w:rsidR="00157FC5">
        <w:rPr>
          <w:sz w:val="22"/>
          <w:szCs w:val="22"/>
        </w:rPr>
        <w:t xml:space="preserve"> </w:t>
      </w:r>
      <w:r w:rsidR="0010783A">
        <w:t>Europejskiego Funduszu Rolnego na rzecz Rozwoju Obszarów Wiejskich w ramach Programu Rozwoju Obszarów Wiejskich na lata 2014 - 2020</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0B49DE97" w14:textId="77777777" w:rsidR="00D57335" w:rsidRPr="00A722E5" w:rsidRDefault="00D57335" w:rsidP="00A722E5">
      <w:pPr>
        <w:pStyle w:val="Tekstpodstawowy"/>
        <w:spacing w:line="276" w:lineRule="auto"/>
        <w:rPr>
          <w:rFonts w:ascii="Times New Roman" w:hAnsi="Times New Roman" w:cs="Times New Roman"/>
          <w:b/>
          <w:bCs/>
          <w:sz w:val="22"/>
          <w:szCs w:val="22"/>
        </w:rPr>
      </w:pPr>
    </w:p>
    <w:p w14:paraId="0FB27674" w14:textId="64B2B2A4" w:rsidR="00E74725" w:rsidRDefault="00DD04DC" w:rsidP="00AE4A18">
      <w:pPr>
        <w:autoSpaceDE w:val="0"/>
        <w:autoSpaceDN w:val="0"/>
        <w:adjustRightInd w:val="0"/>
        <w:ind w:left="705" w:hanging="705"/>
        <w:jc w:val="both"/>
      </w:pPr>
      <w:r w:rsidRPr="00582C16">
        <w:t>5.1.</w:t>
      </w:r>
      <w:r w:rsidRPr="00582C16">
        <w:tab/>
      </w:r>
      <w:r w:rsidR="00E74725" w:rsidRPr="00582C16">
        <w:t xml:space="preserve">Przedmiotem zamówienia jest </w:t>
      </w:r>
      <w:r w:rsidR="00AE4A18" w:rsidRPr="00582C16">
        <w:t>przebudowa świetlicy wiejskiej w</w:t>
      </w:r>
      <w:r w:rsidR="000C5CD5">
        <w:t xml:space="preserve"> Zwierzynie i Górkach Noteckich</w:t>
      </w:r>
    </w:p>
    <w:p w14:paraId="52DA4730" w14:textId="4DCA3029" w:rsidR="000C5CD5" w:rsidRPr="004B2D45" w:rsidRDefault="000C5CD5" w:rsidP="000C5CD5">
      <w:pPr>
        <w:autoSpaceDE w:val="0"/>
        <w:autoSpaceDN w:val="0"/>
        <w:adjustRightInd w:val="0"/>
        <w:spacing w:line="276" w:lineRule="auto"/>
        <w:ind w:left="705"/>
        <w:rPr>
          <w:rFonts w:eastAsia="Calibri"/>
          <w:bCs/>
        </w:rPr>
      </w:pPr>
      <w:r w:rsidRPr="004B2D45">
        <w:rPr>
          <w:rFonts w:eastAsia="Calibri"/>
          <w:bCs/>
        </w:rPr>
        <w:t xml:space="preserve">Zadanie podzielone jest na </w:t>
      </w:r>
      <w:r w:rsidR="00F51496">
        <w:rPr>
          <w:rFonts w:eastAsia="Calibri"/>
          <w:bCs/>
        </w:rPr>
        <w:t>dwie</w:t>
      </w:r>
      <w:r w:rsidRPr="004B2D45">
        <w:rPr>
          <w:rFonts w:eastAsia="Calibri"/>
          <w:bCs/>
        </w:rPr>
        <w:t xml:space="preserve"> części:</w:t>
      </w:r>
    </w:p>
    <w:p w14:paraId="03E1B526" w14:textId="77777777" w:rsidR="000C5CD5" w:rsidRDefault="000C5CD5" w:rsidP="000C5CD5">
      <w:pPr>
        <w:autoSpaceDE w:val="0"/>
        <w:autoSpaceDN w:val="0"/>
        <w:adjustRightInd w:val="0"/>
        <w:ind w:left="705"/>
        <w:jc w:val="both"/>
      </w:pPr>
      <w:r>
        <w:t>1. P</w:t>
      </w:r>
      <w:r w:rsidRPr="00582C16">
        <w:t>rzebudowa świetlicy wiejskiej w</w:t>
      </w:r>
      <w:r>
        <w:t xml:space="preserve"> Zwierzynie </w:t>
      </w:r>
    </w:p>
    <w:p w14:paraId="367C1FBC" w14:textId="570E92B7" w:rsidR="000C5CD5" w:rsidRDefault="000C5CD5" w:rsidP="000C5CD5">
      <w:pPr>
        <w:autoSpaceDE w:val="0"/>
        <w:autoSpaceDN w:val="0"/>
        <w:adjustRightInd w:val="0"/>
        <w:ind w:left="705"/>
        <w:jc w:val="both"/>
        <w:rPr>
          <w:rFonts w:eastAsia="Calibri"/>
          <w:bCs/>
        </w:rPr>
      </w:pPr>
      <w:r>
        <w:rPr>
          <w:rFonts w:eastAsia="Calibri"/>
          <w:bCs/>
        </w:rPr>
        <w:t xml:space="preserve">2. </w:t>
      </w:r>
      <w:r>
        <w:t>P</w:t>
      </w:r>
      <w:r w:rsidRPr="00582C16">
        <w:t>rzebudowa świetlicy wiejskiej w</w:t>
      </w:r>
      <w:r>
        <w:t xml:space="preserve"> Górkach Noteckich</w:t>
      </w:r>
    </w:p>
    <w:p w14:paraId="63D63E42" w14:textId="77777777" w:rsidR="000C5CD5" w:rsidRPr="00582C16" w:rsidRDefault="000C5CD5" w:rsidP="000C5CD5">
      <w:pPr>
        <w:autoSpaceDE w:val="0"/>
        <w:autoSpaceDN w:val="0"/>
        <w:adjustRightInd w:val="0"/>
        <w:ind w:left="705"/>
        <w:jc w:val="both"/>
      </w:pPr>
    </w:p>
    <w:p w14:paraId="1A73A042" w14:textId="0174997B" w:rsidR="00D57335" w:rsidRPr="00582C16" w:rsidRDefault="00D57335" w:rsidP="00D57335">
      <w:pPr>
        <w:pStyle w:val="Tekstpodstawowy"/>
        <w:ind w:right="9"/>
        <w:rPr>
          <w:rFonts w:ascii="Times New Roman" w:hAnsi="Times New Roman" w:cs="Times New Roman"/>
          <w:bCs/>
        </w:rPr>
      </w:pPr>
      <w:r w:rsidRPr="00582C16">
        <w:rPr>
          <w:rFonts w:ascii="Times New Roman" w:hAnsi="Times New Roman" w:cs="Times New Roman"/>
          <w:bCs/>
        </w:rPr>
        <w:t>5.1.1.  Zakres robót obejmuje:</w:t>
      </w:r>
    </w:p>
    <w:p w14:paraId="0D01EC56" w14:textId="06B4B1CF" w:rsidR="00AE4A18" w:rsidRPr="00582C16" w:rsidRDefault="00AE4A18" w:rsidP="00AE4A18">
      <w:pPr>
        <w:spacing w:before="100" w:beforeAutospacing="1"/>
        <w:ind w:left="993" w:hanging="426"/>
        <w:jc w:val="both"/>
      </w:pPr>
      <w:r w:rsidRPr="00582C16">
        <w:t xml:space="preserve">1. </w:t>
      </w:r>
      <w:r w:rsidRPr="00582C16">
        <w:tab/>
        <w:t xml:space="preserve">Przedmiotem zamówienia jest opracowanie dokumentacji projektowej oraz realizacja robót budowlanych. Obowiązkiem Wykonawcy w ramach realizacji </w:t>
      </w:r>
      <w:r w:rsidRPr="00582C16">
        <w:lastRenderedPageBreak/>
        <w:t xml:space="preserve">przedmiotu zamówienia jest uzyskanie ostatecznego i prawomocnego pozwolenia na budowę oraz ostatecznego i prawomocnego pozwolenia na użytkowanie obiektu.  </w:t>
      </w:r>
    </w:p>
    <w:p w14:paraId="4E6C3166" w14:textId="3049A7BC" w:rsidR="00D57335" w:rsidRPr="00582C16" w:rsidRDefault="00D57335" w:rsidP="00D57335">
      <w:pPr>
        <w:spacing w:before="100" w:beforeAutospacing="1"/>
        <w:ind w:left="993" w:hanging="426"/>
        <w:jc w:val="both"/>
      </w:pPr>
      <w:r w:rsidRPr="00582C16">
        <w:t>2.</w:t>
      </w:r>
      <w:r w:rsidRPr="00582C16">
        <w:tab/>
      </w:r>
      <w:r w:rsidR="00AE4A18" w:rsidRPr="00582C16">
        <w:t xml:space="preserve">Zakres dokumentacji obejmuje w szczególności: </w:t>
      </w:r>
    </w:p>
    <w:p w14:paraId="3E11BB59" w14:textId="77777777" w:rsidR="00AE4A18" w:rsidRPr="00582C16" w:rsidRDefault="00AE4A18" w:rsidP="00AE4A18">
      <w:pPr>
        <w:autoSpaceDE w:val="0"/>
        <w:autoSpaceDN w:val="0"/>
        <w:adjustRightInd w:val="0"/>
        <w:spacing w:line="300" w:lineRule="auto"/>
        <w:ind w:left="993"/>
        <w:contextualSpacing/>
        <w:jc w:val="both"/>
      </w:pPr>
      <w:r w:rsidRPr="00582C16">
        <w:t xml:space="preserve">a) wielobranżowe projekty budowlane wraz ze wszystkimi niezbędnymi uzgodnieniami, </w:t>
      </w:r>
      <w:r w:rsidRPr="00582C16">
        <w:br/>
        <w:t xml:space="preserve">dla których uzyskane zostanie pozwolenie na budowę, </w:t>
      </w:r>
    </w:p>
    <w:p w14:paraId="7E37B61C" w14:textId="77777777" w:rsidR="00AE4A18" w:rsidRPr="00582C16" w:rsidRDefault="00AE4A18" w:rsidP="00AE4A18">
      <w:pPr>
        <w:autoSpaceDE w:val="0"/>
        <w:autoSpaceDN w:val="0"/>
        <w:adjustRightInd w:val="0"/>
        <w:spacing w:line="300" w:lineRule="auto"/>
        <w:ind w:left="993"/>
        <w:contextualSpacing/>
        <w:jc w:val="both"/>
      </w:pPr>
      <w:r w:rsidRPr="00582C16">
        <w:t>b) wielobranżowe projekty wykonawcze wraz ze specyfikacjami technicznymi wykonania i odbioru robót budowlanych oraz przedmiarami,</w:t>
      </w:r>
    </w:p>
    <w:p w14:paraId="39D450E7" w14:textId="04D66E1F" w:rsidR="00AE4A18" w:rsidRPr="00582C16" w:rsidRDefault="00AE4A18" w:rsidP="00AE4A18">
      <w:pPr>
        <w:autoSpaceDE w:val="0"/>
        <w:autoSpaceDN w:val="0"/>
        <w:adjustRightInd w:val="0"/>
        <w:spacing w:line="300" w:lineRule="auto"/>
        <w:ind w:left="852" w:firstLine="141"/>
        <w:contextualSpacing/>
        <w:jc w:val="both"/>
      </w:pPr>
      <w:r w:rsidRPr="00582C16">
        <w:t>c) dokumentację powykonawczą,</w:t>
      </w:r>
    </w:p>
    <w:p w14:paraId="2624FB9A" w14:textId="77777777" w:rsidR="00AE4A18" w:rsidRPr="00582C16" w:rsidRDefault="00AE4A18" w:rsidP="00AE4A18">
      <w:pPr>
        <w:spacing w:before="100" w:beforeAutospacing="1"/>
        <w:ind w:left="993" w:hanging="426"/>
        <w:jc w:val="both"/>
      </w:pPr>
      <w:r w:rsidRPr="00582C16">
        <w:t>3.</w:t>
      </w:r>
      <w:r w:rsidRPr="00582C16">
        <w:tab/>
        <w:t xml:space="preserve">Po stronie Wykonawcy leży obowiązek uzyskania wszelkich wymaganych prawem pozwoleń, zgłoszeń, zezwoleń oraz innych dokumentów wymaganych do prawidłowej realizacji przedmiotu zamówienia. </w:t>
      </w:r>
    </w:p>
    <w:p w14:paraId="21FCBE16" w14:textId="77777777" w:rsidR="00AE4A18" w:rsidRPr="00582C16" w:rsidRDefault="00D57335" w:rsidP="00AE4A18">
      <w:pPr>
        <w:spacing w:before="100" w:beforeAutospacing="1"/>
        <w:ind w:left="993" w:hanging="426"/>
        <w:jc w:val="both"/>
      </w:pPr>
      <w:r w:rsidRPr="00582C16">
        <w:t xml:space="preserve">4. </w:t>
      </w:r>
      <w:r w:rsidRPr="00582C16">
        <w:tab/>
      </w:r>
      <w:r w:rsidR="00AE4A18" w:rsidRPr="00582C16">
        <w:t xml:space="preserve">Szczegółowy opis przedmiotu zamówienia określa: </w:t>
      </w:r>
    </w:p>
    <w:p w14:paraId="57E5C80E" w14:textId="57D45A25" w:rsidR="00AE4A18" w:rsidRPr="00582C16" w:rsidRDefault="00AE4A18" w:rsidP="00AE4A18">
      <w:pPr>
        <w:spacing w:before="100" w:beforeAutospacing="1"/>
        <w:ind w:left="993"/>
        <w:jc w:val="both"/>
      </w:pPr>
      <w:r w:rsidRPr="00582C16">
        <w:t xml:space="preserve">a) w zakresie przebudowy z rozbudową budynku świetlicy wiejskiej w Zwierzynie – Program </w:t>
      </w:r>
      <w:proofErr w:type="spellStart"/>
      <w:r w:rsidRPr="00582C16">
        <w:t>Funkcjonalno</w:t>
      </w:r>
      <w:proofErr w:type="spellEnd"/>
      <w:r w:rsidRPr="00582C16">
        <w:t xml:space="preserve"> Użytkowy, stanowiący Załącznik nr 7 do SIWZ,</w:t>
      </w:r>
    </w:p>
    <w:p w14:paraId="2F90C3AC" w14:textId="120747C2" w:rsidR="00AE4A18" w:rsidRPr="00582C16" w:rsidRDefault="00AE4A18" w:rsidP="00AE4A18">
      <w:pPr>
        <w:spacing w:before="100" w:beforeAutospacing="1"/>
        <w:ind w:left="993"/>
        <w:jc w:val="both"/>
      </w:pPr>
      <w:r w:rsidRPr="00582C16">
        <w:t xml:space="preserve">b) w zakresie przebudowy z rozbudową budynku świetlicy wiejskiej w Górkach Noteckich – Program </w:t>
      </w:r>
      <w:proofErr w:type="spellStart"/>
      <w:r w:rsidRPr="00582C16">
        <w:t>Funkcjonalno</w:t>
      </w:r>
      <w:proofErr w:type="spellEnd"/>
      <w:r w:rsidRPr="00582C16">
        <w:t xml:space="preserve"> Użytkowy, stanowiący Załącznik nr 7 do SIWZ,</w:t>
      </w:r>
    </w:p>
    <w:p w14:paraId="359CD8B9" w14:textId="77777777" w:rsidR="00D57335" w:rsidRPr="00582C16" w:rsidRDefault="00D57335" w:rsidP="00D57335">
      <w:pPr>
        <w:pStyle w:val="Tekstpodstawowy"/>
        <w:ind w:left="993" w:right="9" w:hanging="426"/>
        <w:jc w:val="both"/>
        <w:rPr>
          <w:rFonts w:ascii="Times New Roman" w:hAnsi="Times New Roman" w:cs="Times New Roman"/>
        </w:rPr>
      </w:pPr>
    </w:p>
    <w:p w14:paraId="2C71B88F" w14:textId="77777777" w:rsidR="00D57335" w:rsidRPr="00582C16" w:rsidRDefault="00D57335" w:rsidP="00D57335">
      <w:pPr>
        <w:pStyle w:val="Normalny1"/>
        <w:autoSpaceDE w:val="0"/>
        <w:spacing w:after="0" w:line="240" w:lineRule="auto"/>
        <w:jc w:val="both"/>
        <w:rPr>
          <w:rFonts w:ascii="Times New Roman" w:hAnsi="Times New Roman"/>
          <w:b/>
          <w:sz w:val="24"/>
          <w:szCs w:val="24"/>
          <w:u w:val="single"/>
        </w:rPr>
      </w:pPr>
      <w:r w:rsidRPr="00582C16">
        <w:rPr>
          <w:rFonts w:ascii="Times New Roman" w:hAnsi="Times New Roman"/>
          <w:bCs/>
          <w:sz w:val="24"/>
          <w:szCs w:val="24"/>
        </w:rPr>
        <w:t xml:space="preserve">5.1.2.  </w:t>
      </w:r>
      <w:r w:rsidRPr="00582C16">
        <w:rPr>
          <w:rFonts w:ascii="Times New Roman" w:hAnsi="Times New Roman"/>
          <w:b/>
          <w:sz w:val="24"/>
          <w:szCs w:val="24"/>
          <w:u w:val="single"/>
        </w:rPr>
        <w:t>Stosowanie materiałów, urządzeń i technologii równoważnych.</w:t>
      </w:r>
    </w:p>
    <w:p w14:paraId="21C21F1E" w14:textId="0DAE34C6" w:rsidR="00D57335" w:rsidRPr="00582C16" w:rsidRDefault="00D57335" w:rsidP="00582C16">
      <w:pPr>
        <w:pStyle w:val="Normalny1"/>
        <w:autoSpaceDE w:val="0"/>
        <w:spacing w:after="0"/>
        <w:ind w:left="567"/>
        <w:jc w:val="both"/>
        <w:rPr>
          <w:rStyle w:val="Domylnaczcionkaakapitu1"/>
          <w:rFonts w:ascii="Times New Roman" w:hAnsi="Times New Roman"/>
          <w:sz w:val="24"/>
          <w:szCs w:val="24"/>
        </w:rPr>
      </w:pPr>
      <w:r w:rsidRPr="00582C16">
        <w:rPr>
          <w:rFonts w:ascii="Times New Roman" w:hAnsi="Times New Roman"/>
          <w:sz w:val="24"/>
          <w:szCs w:val="24"/>
        </w:rPr>
        <w:t xml:space="preserve">Jeżeli PFU, dokumentacja techniczna, lub przedmiar wskazywałyby w odniesieniu do niektórych materiałów, urządzeń i technologii znaki towarowe lub pochodzenie, w tym w szczególności podana byłaby nazwa własna materiału, urządzenia czy technologii, numer katalogowy lub producent, należy to traktować jako rozwiązanie przykładowe określające standardy, wygląd i wymagania techniczne, a Zamawiający, zgodnie z art. 29 ust. 3 ustawy </w:t>
      </w:r>
      <w:proofErr w:type="spellStart"/>
      <w:r w:rsidRPr="00582C16">
        <w:rPr>
          <w:rFonts w:ascii="Times New Roman" w:hAnsi="Times New Roman"/>
          <w:sz w:val="24"/>
          <w:szCs w:val="24"/>
        </w:rPr>
        <w:t>Pzp</w:t>
      </w:r>
      <w:proofErr w:type="spellEnd"/>
      <w:r w:rsidRPr="00582C16">
        <w:rPr>
          <w:rFonts w:ascii="Times New Roman" w:hAnsi="Times New Roman"/>
          <w:sz w:val="24"/>
          <w:szCs w:val="24"/>
        </w:rPr>
        <w:t>, dopuszcza materiały, urządzenia i technologie równoważne.</w:t>
      </w:r>
      <w:r w:rsidR="00582C16">
        <w:rPr>
          <w:rFonts w:ascii="Times New Roman" w:hAnsi="Times New Roman"/>
          <w:sz w:val="24"/>
          <w:szCs w:val="24"/>
        </w:rPr>
        <w:t xml:space="preserve"> Wszelkie materiały, urządzenia </w:t>
      </w:r>
      <w:r w:rsidRPr="00582C16">
        <w:rPr>
          <w:rFonts w:ascii="Times New Roman" w:hAnsi="Times New Roman"/>
          <w:sz w:val="24"/>
          <w:szCs w:val="24"/>
        </w:rPr>
        <w:t>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w:t>
      </w:r>
    </w:p>
    <w:p w14:paraId="2F307B38" w14:textId="77777777" w:rsidR="00D57335" w:rsidRPr="00582C16" w:rsidRDefault="00D57335" w:rsidP="00582C16">
      <w:pPr>
        <w:pStyle w:val="Normalny1"/>
        <w:autoSpaceDE w:val="0"/>
        <w:spacing w:after="0"/>
        <w:ind w:left="567"/>
        <w:jc w:val="both"/>
        <w:rPr>
          <w:rFonts w:ascii="Times New Roman" w:hAnsi="Times New Roman"/>
          <w:sz w:val="24"/>
          <w:szCs w:val="24"/>
        </w:rPr>
      </w:pPr>
      <w:r w:rsidRPr="00582C16">
        <w:rPr>
          <w:rStyle w:val="Domylnaczcionkaakapitu1"/>
          <w:rFonts w:ascii="Times New Roman" w:hAnsi="Times New Roman"/>
          <w:sz w:val="24"/>
          <w:szCs w:val="24"/>
        </w:rPr>
        <w:t xml:space="preserve">Wszelkie materiały, urządzenia i rozwiązania równoważne, muszą spełniać następujące wymagania i standardy w stosunku do materiału, urządzenia i rozwiązania wskazanego jako przykładowy, tj. muszą być </w:t>
      </w:r>
      <w:r w:rsidRPr="00582C16">
        <w:rPr>
          <w:rStyle w:val="Domylnaczcionkaakapitu1"/>
          <w:rFonts w:ascii="Times New Roman" w:hAnsi="Times New Roman"/>
          <w:b/>
          <w:bCs/>
          <w:sz w:val="24"/>
          <w:szCs w:val="24"/>
        </w:rPr>
        <w:t>co najmniej</w:t>
      </w:r>
      <w:r w:rsidRPr="00582C16">
        <w:rPr>
          <w:rStyle w:val="Domylnaczcionkaakapitu1"/>
          <w:rFonts w:ascii="Times New Roman" w:hAnsi="Times New Roman"/>
          <w:sz w:val="24"/>
          <w:szCs w:val="24"/>
        </w:rPr>
        <w:t xml:space="preserve">: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w:t>
      </w:r>
      <w:r w:rsidRPr="00582C16">
        <w:rPr>
          <w:rStyle w:val="Domylnaczcionkaakapitu1"/>
          <w:rFonts w:ascii="Times New Roman" w:hAnsi="Times New Roman"/>
          <w:sz w:val="24"/>
          <w:szCs w:val="24"/>
        </w:rPr>
        <w:lastRenderedPageBreak/>
        <w:t>spełniać wymagania bezpieczeństwa konstrukcji, bhp i p.poż, posiadać stosowne dokumenty dopuszczające do stosowania w budownictwie, atesty i aprobaty techniczne.</w:t>
      </w:r>
    </w:p>
    <w:p w14:paraId="69D34110" w14:textId="6B2D0E49" w:rsidR="00D57335" w:rsidRPr="00582C16" w:rsidRDefault="00D57335" w:rsidP="00582C16">
      <w:pPr>
        <w:pStyle w:val="Normalny1"/>
        <w:autoSpaceDE w:val="0"/>
        <w:spacing w:after="0"/>
        <w:ind w:left="567"/>
        <w:jc w:val="both"/>
        <w:rPr>
          <w:rStyle w:val="Domylnaczcionkaakapitu1"/>
          <w:rFonts w:ascii="Times New Roman" w:hAnsi="Times New Roman"/>
          <w:sz w:val="24"/>
          <w:szCs w:val="24"/>
        </w:rPr>
      </w:pPr>
      <w:r w:rsidRPr="00582C16">
        <w:rPr>
          <w:rFonts w:ascii="Times New Roman" w:hAnsi="Times New Roman"/>
          <w:sz w:val="24"/>
          <w:szCs w:val="24"/>
        </w:rPr>
        <w:t>Zaproponowane materiały równoważne będą akceptowane przez Zamawiającego. Po stronie wykonawcy jest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w:t>
      </w:r>
      <w:r w:rsidR="00582C16">
        <w:rPr>
          <w:rFonts w:ascii="Times New Roman" w:hAnsi="Times New Roman"/>
          <w:sz w:val="24"/>
          <w:szCs w:val="24"/>
        </w:rPr>
        <w:t xml:space="preserve">nie wykonawcy </w:t>
      </w:r>
      <w:r w:rsidRPr="00582C16">
        <w:rPr>
          <w:rFonts w:ascii="Times New Roman" w:hAnsi="Times New Roman"/>
          <w:sz w:val="24"/>
          <w:szCs w:val="24"/>
        </w:rPr>
        <w:t>i na jego koszt jest przygotowanie i uzgodnienie dokumentacji zamiennej.</w:t>
      </w:r>
    </w:p>
    <w:p w14:paraId="272F3521" w14:textId="237B16C6" w:rsidR="00D57335" w:rsidRPr="00D57335" w:rsidRDefault="00D57335" w:rsidP="00D57335">
      <w:pPr>
        <w:autoSpaceDE w:val="0"/>
        <w:autoSpaceDN w:val="0"/>
        <w:adjustRightInd w:val="0"/>
        <w:ind w:left="705" w:hanging="705"/>
        <w:jc w:val="both"/>
        <w:rPr>
          <w:rFonts w:eastAsiaTheme="minorHAnsi"/>
          <w:sz w:val="22"/>
          <w:szCs w:val="22"/>
          <w:lang w:eastAsia="en-US"/>
        </w:rPr>
      </w:pPr>
    </w:p>
    <w:p w14:paraId="62C048FB" w14:textId="05BCA94B" w:rsidR="008A30CD" w:rsidRPr="00D57335" w:rsidRDefault="008A30CD" w:rsidP="00D57335">
      <w:pPr>
        <w:widowControl w:val="0"/>
        <w:autoSpaceDE w:val="0"/>
        <w:autoSpaceDN w:val="0"/>
        <w:adjustRightInd w:val="0"/>
        <w:ind w:left="705" w:hanging="705"/>
        <w:rPr>
          <w:rFonts w:eastAsiaTheme="minorHAnsi"/>
          <w:sz w:val="22"/>
          <w:szCs w:val="22"/>
          <w:lang w:eastAsia="en-US"/>
        </w:rPr>
      </w:pPr>
      <w:r w:rsidRPr="00D57335">
        <w:rPr>
          <w:rFonts w:eastAsiaTheme="minorHAnsi"/>
          <w:sz w:val="22"/>
          <w:szCs w:val="22"/>
          <w:lang w:eastAsia="en-US"/>
        </w:rPr>
        <w:tab/>
      </w:r>
    </w:p>
    <w:p w14:paraId="4674FFE5" w14:textId="4819EB79" w:rsidR="00015332" w:rsidRPr="00D57335" w:rsidRDefault="00D57335" w:rsidP="00CF5975">
      <w:pPr>
        <w:widowControl w:val="0"/>
        <w:autoSpaceDE w:val="0"/>
        <w:autoSpaceDN w:val="0"/>
        <w:adjustRightInd w:val="0"/>
        <w:spacing w:line="276" w:lineRule="auto"/>
        <w:ind w:left="705" w:hanging="705"/>
        <w:rPr>
          <w:b/>
          <w:bCs/>
          <w:sz w:val="22"/>
          <w:szCs w:val="22"/>
        </w:rPr>
      </w:pPr>
      <w:r w:rsidRPr="00D57335">
        <w:rPr>
          <w:rFonts w:eastAsiaTheme="minorHAnsi"/>
          <w:sz w:val="22"/>
          <w:szCs w:val="22"/>
          <w:lang w:eastAsia="en-US"/>
        </w:rPr>
        <w:t xml:space="preserve">5.2 </w:t>
      </w:r>
      <w:r w:rsidRPr="00D57335">
        <w:rPr>
          <w:rFonts w:eastAsiaTheme="minorHAnsi"/>
          <w:sz w:val="22"/>
          <w:szCs w:val="22"/>
          <w:lang w:eastAsia="en-US"/>
        </w:rPr>
        <w:tab/>
      </w:r>
      <w:r w:rsidR="00015332" w:rsidRPr="00D57335">
        <w:rPr>
          <w:b/>
          <w:bCs/>
          <w:sz w:val="22"/>
          <w:szCs w:val="22"/>
        </w:rPr>
        <w:t xml:space="preserve">CPV (Wspólny </w:t>
      </w:r>
      <w:r w:rsidR="00015332" w:rsidRPr="00D57335">
        <w:rPr>
          <w:b/>
          <w:bCs/>
          <w:sz w:val="22"/>
          <w:szCs w:val="22"/>
          <w:lang w:eastAsia="en-US"/>
        </w:rPr>
        <w:t>Słownik</w:t>
      </w:r>
      <w:r w:rsidR="00015332" w:rsidRPr="00D57335">
        <w:rPr>
          <w:b/>
          <w:bCs/>
          <w:sz w:val="22"/>
          <w:szCs w:val="22"/>
        </w:rPr>
        <w:t xml:space="preserve"> Zamówień) </w:t>
      </w:r>
    </w:p>
    <w:p w14:paraId="4674FFE6" w14:textId="77777777" w:rsidR="00015332" w:rsidRPr="00D57335" w:rsidRDefault="00015332" w:rsidP="00CF5975">
      <w:pPr>
        <w:pStyle w:val="Tekstpodstawowy"/>
        <w:spacing w:line="276" w:lineRule="auto"/>
        <w:ind w:left="709"/>
        <w:jc w:val="both"/>
        <w:rPr>
          <w:rFonts w:ascii="Times New Roman" w:hAnsi="Times New Roman" w:cs="Times New Roman"/>
          <w:b/>
          <w:bCs/>
          <w:sz w:val="22"/>
          <w:szCs w:val="22"/>
          <w:lang w:eastAsia="en-US"/>
        </w:rPr>
      </w:pPr>
      <w:r w:rsidRPr="00D57335">
        <w:rPr>
          <w:rFonts w:ascii="Times New Roman" w:hAnsi="Times New Roman" w:cs="Times New Roman"/>
          <w:b/>
          <w:bCs/>
          <w:sz w:val="22"/>
          <w:szCs w:val="22"/>
          <w:lang w:eastAsia="en-US"/>
        </w:rPr>
        <w:t>Główny przedmiot</w:t>
      </w:r>
    </w:p>
    <w:p w14:paraId="4674FFE7" w14:textId="77777777" w:rsidR="00AC54AA" w:rsidRPr="00D57335" w:rsidRDefault="00AC54AA" w:rsidP="00CF5975">
      <w:pPr>
        <w:pStyle w:val="Styl1"/>
        <w:numPr>
          <w:ilvl w:val="0"/>
          <w:numId w:val="0"/>
        </w:numPr>
        <w:spacing w:line="276" w:lineRule="auto"/>
        <w:ind w:left="709"/>
        <w:rPr>
          <w:rFonts w:ascii="Times New Roman" w:hAnsi="Times New Roman"/>
          <w:szCs w:val="22"/>
        </w:rPr>
      </w:pPr>
      <w:r w:rsidRPr="00D57335">
        <w:rPr>
          <w:rFonts w:ascii="Times New Roman" w:hAnsi="Times New Roman"/>
          <w:szCs w:val="22"/>
        </w:rPr>
        <w:t xml:space="preserve">Oznaczenie kodu robót wg Wspólnego Słownika Zamówień (CPV) </w:t>
      </w:r>
    </w:p>
    <w:p w14:paraId="4674FFE8" w14:textId="77777777" w:rsidR="00AC54AA" w:rsidRDefault="00AC54AA" w:rsidP="00CF5975">
      <w:pPr>
        <w:pStyle w:val="Default"/>
        <w:spacing w:line="276" w:lineRule="auto"/>
        <w:ind w:left="709"/>
        <w:jc w:val="both"/>
        <w:rPr>
          <w:color w:val="auto"/>
          <w:sz w:val="22"/>
          <w:szCs w:val="22"/>
        </w:rPr>
      </w:pPr>
      <w:r w:rsidRPr="00D57335">
        <w:rPr>
          <w:color w:val="auto"/>
          <w:sz w:val="22"/>
          <w:szCs w:val="22"/>
        </w:rPr>
        <w:t>Główny przedmiot:</w:t>
      </w:r>
    </w:p>
    <w:p w14:paraId="042D7873" w14:textId="77777777" w:rsidR="003E1DC2" w:rsidRPr="00D57335" w:rsidRDefault="003E1DC2" w:rsidP="00CF5975">
      <w:pPr>
        <w:pStyle w:val="Default"/>
        <w:spacing w:line="276" w:lineRule="auto"/>
        <w:ind w:left="709"/>
        <w:jc w:val="both"/>
        <w:rPr>
          <w:color w:val="auto"/>
          <w:sz w:val="22"/>
          <w:szCs w:val="22"/>
        </w:rPr>
      </w:pPr>
    </w:p>
    <w:p w14:paraId="406946B9" w14:textId="77777777" w:rsidR="003E1DC2" w:rsidRDefault="003E1DC2" w:rsidP="003E1DC2">
      <w:pPr>
        <w:pStyle w:val="Default"/>
        <w:spacing w:line="276" w:lineRule="auto"/>
        <w:ind w:left="709"/>
        <w:jc w:val="both"/>
        <w:rPr>
          <w:sz w:val="22"/>
          <w:szCs w:val="22"/>
        </w:rPr>
      </w:pPr>
      <w:r>
        <w:rPr>
          <w:sz w:val="22"/>
          <w:szCs w:val="22"/>
        </w:rPr>
        <w:t>45000000-7 Roboty budowlane</w:t>
      </w:r>
    </w:p>
    <w:p w14:paraId="580DA75B" w14:textId="21CB028C" w:rsidR="00E147AC" w:rsidRDefault="00582C16" w:rsidP="00CF5975">
      <w:pPr>
        <w:pStyle w:val="Default"/>
        <w:spacing w:line="276" w:lineRule="auto"/>
        <w:ind w:left="709"/>
        <w:jc w:val="both"/>
        <w:rPr>
          <w:sz w:val="22"/>
          <w:szCs w:val="22"/>
        </w:rPr>
      </w:pPr>
      <w:r>
        <w:rPr>
          <w:sz w:val="22"/>
          <w:szCs w:val="22"/>
        </w:rPr>
        <w:t>71220000-6 Usługi projektowania architektonicznego</w:t>
      </w:r>
    </w:p>
    <w:p w14:paraId="0A3342F7" w14:textId="0EF7C052" w:rsidR="00582C16" w:rsidRDefault="00582C16" w:rsidP="00CF5975">
      <w:pPr>
        <w:pStyle w:val="Default"/>
        <w:spacing w:line="276" w:lineRule="auto"/>
        <w:ind w:left="709"/>
        <w:jc w:val="both"/>
        <w:rPr>
          <w:sz w:val="22"/>
          <w:szCs w:val="22"/>
        </w:rPr>
      </w:pPr>
      <w:r>
        <w:rPr>
          <w:sz w:val="22"/>
          <w:szCs w:val="22"/>
        </w:rPr>
        <w:t xml:space="preserve">71320000-7 Usługi inżynieryjne w zakresie projektowania </w:t>
      </w:r>
    </w:p>
    <w:p w14:paraId="5199B76B" w14:textId="611E40A8" w:rsidR="00582C16" w:rsidRDefault="00582C16" w:rsidP="00CF5975">
      <w:pPr>
        <w:pStyle w:val="Default"/>
        <w:spacing w:line="276" w:lineRule="auto"/>
        <w:ind w:left="709"/>
        <w:jc w:val="both"/>
        <w:rPr>
          <w:sz w:val="22"/>
          <w:szCs w:val="22"/>
        </w:rPr>
      </w:pPr>
      <w:r>
        <w:rPr>
          <w:sz w:val="22"/>
          <w:szCs w:val="22"/>
        </w:rPr>
        <w:t>45260000-7 Roboty w zakresie wykonywania pokryć i konstrukcji dachowych i inne</w:t>
      </w:r>
    </w:p>
    <w:p w14:paraId="60A34B37" w14:textId="20823DE5" w:rsidR="00582C16" w:rsidRDefault="00582C16" w:rsidP="00CF5975">
      <w:pPr>
        <w:pStyle w:val="Default"/>
        <w:spacing w:line="276" w:lineRule="auto"/>
        <w:ind w:left="709"/>
        <w:jc w:val="both"/>
        <w:rPr>
          <w:sz w:val="22"/>
          <w:szCs w:val="22"/>
        </w:rPr>
      </w:pPr>
      <w:r>
        <w:rPr>
          <w:sz w:val="22"/>
          <w:szCs w:val="22"/>
        </w:rPr>
        <w:t>45453000-</w:t>
      </w:r>
      <w:r w:rsidR="00CF5975">
        <w:rPr>
          <w:sz w:val="22"/>
          <w:szCs w:val="22"/>
        </w:rPr>
        <w:t>7 Roboty remontowe i renowacyjne</w:t>
      </w:r>
    </w:p>
    <w:p w14:paraId="34118E06" w14:textId="0029A6F8" w:rsidR="00CF5975" w:rsidRDefault="00CF5975" w:rsidP="00CF5975">
      <w:pPr>
        <w:pStyle w:val="Default"/>
        <w:spacing w:line="276" w:lineRule="auto"/>
        <w:ind w:left="709"/>
        <w:jc w:val="both"/>
        <w:rPr>
          <w:sz w:val="22"/>
          <w:szCs w:val="22"/>
        </w:rPr>
      </w:pPr>
      <w:r>
        <w:rPr>
          <w:sz w:val="22"/>
          <w:szCs w:val="22"/>
        </w:rPr>
        <w:t>45400000-1 Roboty wykończeniowe w zakresie obiektów budowlanych</w:t>
      </w:r>
    </w:p>
    <w:p w14:paraId="480EF068" w14:textId="38A2F1D7" w:rsidR="00CF5975" w:rsidRDefault="00CF5975" w:rsidP="00CF5975">
      <w:pPr>
        <w:pStyle w:val="Default"/>
        <w:spacing w:line="276" w:lineRule="auto"/>
        <w:ind w:left="709"/>
        <w:jc w:val="both"/>
        <w:rPr>
          <w:sz w:val="22"/>
          <w:szCs w:val="22"/>
        </w:rPr>
      </w:pPr>
      <w:r>
        <w:rPr>
          <w:sz w:val="22"/>
          <w:szCs w:val="22"/>
        </w:rPr>
        <w:t>45310000-3 Roboty instalacyjne elektryczne</w:t>
      </w:r>
    </w:p>
    <w:p w14:paraId="58F71BC2" w14:textId="3A5D84D7" w:rsidR="00CF5975" w:rsidRDefault="00CF5975" w:rsidP="00CF5975">
      <w:pPr>
        <w:pStyle w:val="Default"/>
        <w:spacing w:line="276" w:lineRule="auto"/>
        <w:ind w:left="709"/>
        <w:jc w:val="both"/>
        <w:rPr>
          <w:sz w:val="22"/>
          <w:szCs w:val="22"/>
        </w:rPr>
      </w:pPr>
      <w:r>
        <w:rPr>
          <w:sz w:val="22"/>
          <w:szCs w:val="22"/>
        </w:rPr>
        <w:t>45300000-0 Roboty instalacyjne w budynkach</w:t>
      </w:r>
    </w:p>
    <w:p w14:paraId="5E24870A" w14:textId="066F75A6" w:rsidR="00CF5975" w:rsidRDefault="00CF5975" w:rsidP="00CF5975">
      <w:pPr>
        <w:pStyle w:val="Default"/>
        <w:spacing w:line="276" w:lineRule="auto"/>
        <w:ind w:left="709"/>
        <w:jc w:val="both"/>
        <w:rPr>
          <w:sz w:val="22"/>
          <w:szCs w:val="22"/>
        </w:rPr>
      </w:pPr>
      <w:r>
        <w:rPr>
          <w:sz w:val="22"/>
          <w:szCs w:val="22"/>
        </w:rPr>
        <w:t>71354000-4 Usługi sporządzania map</w:t>
      </w:r>
    </w:p>
    <w:p w14:paraId="30BE0FC3" w14:textId="2D0B73E4" w:rsidR="00CF5975" w:rsidRDefault="00CF5975" w:rsidP="00CF5975">
      <w:pPr>
        <w:pStyle w:val="Default"/>
        <w:spacing w:line="276" w:lineRule="auto"/>
        <w:ind w:left="709"/>
        <w:jc w:val="both"/>
        <w:rPr>
          <w:sz w:val="22"/>
          <w:szCs w:val="22"/>
        </w:rPr>
      </w:pPr>
      <w:r>
        <w:rPr>
          <w:sz w:val="22"/>
          <w:szCs w:val="22"/>
        </w:rPr>
        <w:t>45331000-6 Instalowanie urządzeń grzewczych, wentylacyjnych i klimatyzacyjnych</w:t>
      </w:r>
    </w:p>
    <w:p w14:paraId="7D01118E" w14:textId="12784AA9" w:rsidR="00CF5975" w:rsidRDefault="00CF5975" w:rsidP="00CF5975">
      <w:pPr>
        <w:pStyle w:val="Default"/>
        <w:spacing w:line="276" w:lineRule="auto"/>
        <w:ind w:left="709"/>
        <w:jc w:val="both"/>
        <w:rPr>
          <w:sz w:val="22"/>
          <w:szCs w:val="22"/>
        </w:rPr>
      </w:pPr>
      <w:r>
        <w:rPr>
          <w:sz w:val="22"/>
          <w:szCs w:val="22"/>
        </w:rPr>
        <w:t>45111200-0 Roboty w zakresie przygotowania terenu pod budowę i roboty ziemne</w:t>
      </w:r>
    </w:p>
    <w:p w14:paraId="3F8D3922" w14:textId="77777777" w:rsidR="00CF5975" w:rsidRPr="00D57335" w:rsidRDefault="00CF5975" w:rsidP="00CF5975">
      <w:pPr>
        <w:pStyle w:val="Default"/>
        <w:spacing w:line="276" w:lineRule="auto"/>
        <w:ind w:left="709"/>
        <w:jc w:val="both"/>
        <w:rPr>
          <w:sz w:val="22"/>
          <w:szCs w:val="22"/>
        </w:rPr>
      </w:pPr>
    </w:p>
    <w:p w14:paraId="4674FFF0" w14:textId="77777777" w:rsidR="00015332" w:rsidRPr="00D57335" w:rsidRDefault="00015332" w:rsidP="00CF5975">
      <w:pPr>
        <w:pStyle w:val="Tekstpodstawowy3"/>
        <w:spacing w:line="276" w:lineRule="auto"/>
        <w:ind w:left="709"/>
        <w:rPr>
          <w:i w:val="0"/>
          <w:iCs w:val="0"/>
          <w:sz w:val="22"/>
          <w:szCs w:val="22"/>
        </w:rPr>
      </w:pPr>
      <w:r w:rsidRPr="00D57335">
        <w:rPr>
          <w:i w:val="0"/>
          <w:iCs w:val="0"/>
          <w:sz w:val="22"/>
          <w:szCs w:val="22"/>
        </w:rPr>
        <w:t>Przedmiot zamówienia zwany jest dalej „przedmiotem zamówienia”.</w:t>
      </w:r>
    </w:p>
    <w:p w14:paraId="4674FFF1" w14:textId="77777777" w:rsidR="00015332" w:rsidRPr="00D57335" w:rsidRDefault="00015332" w:rsidP="00CF5975">
      <w:pPr>
        <w:pStyle w:val="Tekstpodstawowy3"/>
        <w:spacing w:line="276" w:lineRule="auto"/>
        <w:ind w:left="709"/>
        <w:rPr>
          <w:i w:val="0"/>
          <w:iCs w:val="0"/>
          <w:sz w:val="22"/>
          <w:szCs w:val="22"/>
        </w:rPr>
      </w:pPr>
      <w:r w:rsidRPr="00D57335">
        <w:rPr>
          <w:i w:val="0"/>
          <w:iCs w:val="0"/>
          <w:sz w:val="22"/>
          <w:szCs w:val="22"/>
        </w:rPr>
        <w:t>Wykonawca zwany jest dalej „Wykonawcą”.</w:t>
      </w:r>
    </w:p>
    <w:p w14:paraId="4674FFF2" w14:textId="77777777" w:rsidR="00015332" w:rsidRPr="00D57335" w:rsidRDefault="00015332" w:rsidP="00CF5975">
      <w:pPr>
        <w:pStyle w:val="Tekstpodstawowy3"/>
        <w:spacing w:line="276" w:lineRule="auto"/>
        <w:ind w:left="709"/>
        <w:rPr>
          <w:i w:val="0"/>
          <w:iCs w:val="0"/>
          <w:sz w:val="22"/>
          <w:szCs w:val="22"/>
        </w:rPr>
      </w:pPr>
      <w:r w:rsidRPr="00D57335">
        <w:rPr>
          <w:i w:val="0"/>
          <w:iCs w:val="0"/>
          <w:sz w:val="22"/>
          <w:szCs w:val="22"/>
        </w:rPr>
        <w:t xml:space="preserve">Specyfikacja Istotnych Warunków Zamówienia zwana jest dalej „SIWZ” </w:t>
      </w:r>
      <w:r w:rsidRPr="00D57335">
        <w:rPr>
          <w:i w:val="0"/>
          <w:iCs w:val="0"/>
          <w:sz w:val="22"/>
          <w:szCs w:val="22"/>
        </w:rPr>
        <w:br/>
        <w:t>lub „Specyfikacją”.</w:t>
      </w:r>
    </w:p>
    <w:p w14:paraId="4674FFF3" w14:textId="58203FE3" w:rsidR="00015332" w:rsidRPr="00D57335" w:rsidRDefault="00D57335" w:rsidP="00D57335">
      <w:pPr>
        <w:pStyle w:val="Tekstpodstawowy3"/>
        <w:rPr>
          <w:i w:val="0"/>
          <w:iCs w:val="0"/>
          <w:sz w:val="22"/>
          <w:szCs w:val="22"/>
        </w:rPr>
      </w:pPr>
      <w:r w:rsidRPr="00D57335">
        <w:rPr>
          <w:i w:val="0"/>
          <w:iCs w:val="0"/>
          <w:sz w:val="22"/>
          <w:szCs w:val="22"/>
        </w:rPr>
        <w:t xml:space="preserve">5.3. </w:t>
      </w:r>
      <w:r w:rsidRPr="00D57335">
        <w:rPr>
          <w:i w:val="0"/>
          <w:iCs w:val="0"/>
          <w:sz w:val="22"/>
          <w:szCs w:val="22"/>
        </w:rPr>
        <w:tab/>
      </w:r>
      <w:r w:rsidR="00015332" w:rsidRPr="00D57335">
        <w:rPr>
          <w:i w:val="0"/>
          <w:iCs w:val="0"/>
          <w:sz w:val="22"/>
          <w:szCs w:val="22"/>
        </w:rPr>
        <w:t xml:space="preserve">Zamawiający </w:t>
      </w:r>
      <w:r w:rsidR="00015332" w:rsidRPr="00D57335">
        <w:rPr>
          <w:b/>
          <w:i w:val="0"/>
          <w:iCs w:val="0"/>
          <w:sz w:val="22"/>
          <w:szCs w:val="22"/>
        </w:rPr>
        <w:t xml:space="preserve">dopuszcza </w:t>
      </w:r>
      <w:r w:rsidR="00015332" w:rsidRPr="00D57335">
        <w:rPr>
          <w:i w:val="0"/>
          <w:iCs w:val="0"/>
          <w:sz w:val="22"/>
          <w:szCs w:val="22"/>
        </w:rPr>
        <w:t>składanie ofert częściowych.</w:t>
      </w:r>
    </w:p>
    <w:p w14:paraId="0D3B837E" w14:textId="6873E484" w:rsidR="00DD04DC" w:rsidRPr="00D57335" w:rsidRDefault="00015332" w:rsidP="00D57335">
      <w:pPr>
        <w:pStyle w:val="Tekstpodstawowy3"/>
        <w:ind w:left="709"/>
        <w:rPr>
          <w:i w:val="0"/>
          <w:iCs w:val="0"/>
          <w:sz w:val="22"/>
          <w:szCs w:val="22"/>
        </w:rPr>
      </w:pPr>
      <w:r w:rsidRPr="00D57335">
        <w:rPr>
          <w:i w:val="0"/>
          <w:iCs w:val="0"/>
          <w:sz w:val="22"/>
          <w:szCs w:val="22"/>
        </w:rPr>
        <w:t xml:space="preserve">Zamawiający </w:t>
      </w:r>
      <w:r w:rsidRPr="00D57335">
        <w:rPr>
          <w:b/>
          <w:i w:val="0"/>
          <w:iCs w:val="0"/>
          <w:sz w:val="22"/>
          <w:szCs w:val="22"/>
        </w:rPr>
        <w:t>nie dopuszcza</w:t>
      </w:r>
      <w:r w:rsidRPr="00D57335">
        <w:rPr>
          <w:i w:val="0"/>
          <w:iCs w:val="0"/>
          <w:sz w:val="22"/>
          <w:szCs w:val="22"/>
        </w:rPr>
        <w:t xml:space="preserve"> składania ofert wariantowych.</w:t>
      </w:r>
    </w:p>
    <w:p w14:paraId="4F596125" w14:textId="3AF3A467" w:rsidR="00FA7DFE" w:rsidRPr="00D57335" w:rsidRDefault="00FA7DFE" w:rsidP="00D57335">
      <w:pPr>
        <w:widowControl w:val="0"/>
        <w:suppressAutoHyphens/>
        <w:autoSpaceDN w:val="0"/>
        <w:ind w:left="705" w:hanging="705"/>
        <w:jc w:val="both"/>
        <w:rPr>
          <w:rFonts w:eastAsia="Lucida Sans Unicode"/>
          <w:kern w:val="3"/>
          <w:sz w:val="22"/>
          <w:szCs w:val="22"/>
        </w:rPr>
      </w:pPr>
      <w:r w:rsidRPr="00D57335">
        <w:rPr>
          <w:sz w:val="22"/>
          <w:szCs w:val="22"/>
        </w:rPr>
        <w:t>5.4</w:t>
      </w:r>
      <w:r w:rsidR="00015332" w:rsidRPr="00D57335">
        <w:rPr>
          <w:sz w:val="22"/>
          <w:szCs w:val="22"/>
        </w:rPr>
        <w:t>.</w:t>
      </w:r>
      <w:r w:rsidR="00015332" w:rsidRPr="00D57335">
        <w:rPr>
          <w:sz w:val="22"/>
          <w:szCs w:val="22"/>
        </w:rPr>
        <w:tab/>
      </w:r>
      <w:r w:rsidR="003F2FBA" w:rsidRPr="00D57335">
        <w:rPr>
          <w:rFonts w:eastAsia="Lucida Sans Unicode"/>
          <w:kern w:val="3"/>
          <w:sz w:val="22"/>
          <w:szCs w:val="22"/>
        </w:rPr>
        <w:t xml:space="preserve">Prace należy prowadzić pod kierunkiem osób posiadających odpowiednie uprawnienia budowlane. Wykonawca zapewni udział przy realizacji zamówienia osób posiadających uprawnienia do kierowania robotami budowlanymi w branży </w:t>
      </w:r>
      <w:r w:rsidR="00E147AC" w:rsidRPr="00D57335">
        <w:rPr>
          <w:rFonts w:eastAsia="Lucida Sans Unicode"/>
          <w:kern w:val="3"/>
          <w:sz w:val="22"/>
          <w:szCs w:val="22"/>
        </w:rPr>
        <w:t>budowlanej, sanitarnej,</w:t>
      </w:r>
      <w:r w:rsidR="003F2FBA" w:rsidRPr="00D57335">
        <w:rPr>
          <w:rFonts w:eastAsia="Lucida Sans Unicode"/>
          <w:kern w:val="3"/>
          <w:sz w:val="22"/>
          <w:szCs w:val="22"/>
        </w:rPr>
        <w:t xml:space="preserve">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 xml:space="preserve">Wykonawca ponosi wszelkie koszty powstałe w wyniku realizacji inwestycji w szczególności </w:t>
      </w:r>
      <w:r w:rsidRPr="00A722E5">
        <w:rPr>
          <w:rFonts w:eastAsia="Lucida Sans Unicode"/>
          <w:kern w:val="3"/>
          <w:sz w:val="22"/>
          <w:szCs w:val="22"/>
        </w:rPr>
        <w:lastRenderedPageBreak/>
        <w:t>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lastRenderedPageBreak/>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2BEA952E" w14:textId="77777777" w:rsidR="000C5CD5" w:rsidRDefault="000C5CD5" w:rsidP="000C5CD5">
      <w:pPr>
        <w:spacing w:line="276" w:lineRule="auto"/>
        <w:jc w:val="both"/>
      </w:pPr>
      <w:r w:rsidRPr="00814B7A">
        <w:t>Zamawiający wymaga realizacji zamówienia</w:t>
      </w:r>
      <w:r>
        <w:t>:</w:t>
      </w:r>
    </w:p>
    <w:p w14:paraId="0D9C8D96" w14:textId="015B53BB" w:rsidR="000C5CD5" w:rsidRDefault="000C5CD5" w:rsidP="000C5CD5">
      <w:pPr>
        <w:spacing w:line="276" w:lineRule="auto"/>
        <w:jc w:val="both"/>
      </w:pPr>
      <w:r>
        <w:t xml:space="preserve">Zadanie 1 - </w:t>
      </w:r>
      <w:r w:rsidRPr="00814B7A">
        <w:t xml:space="preserve">w terminie </w:t>
      </w:r>
      <w:r w:rsidRPr="004C0C50">
        <w:t xml:space="preserve">do dnia </w:t>
      </w:r>
      <w:r>
        <w:rPr>
          <w:b/>
          <w:bCs/>
        </w:rPr>
        <w:t>15</w:t>
      </w:r>
      <w:r w:rsidRPr="004C0C50">
        <w:rPr>
          <w:b/>
          <w:bCs/>
        </w:rPr>
        <w:t>.</w:t>
      </w:r>
      <w:r w:rsidR="003B1257">
        <w:rPr>
          <w:b/>
          <w:bCs/>
        </w:rPr>
        <w:t>12</w:t>
      </w:r>
      <w:r>
        <w:rPr>
          <w:b/>
          <w:bCs/>
        </w:rPr>
        <w:t>.2021</w:t>
      </w:r>
      <w:r w:rsidRPr="004C0C50">
        <w:rPr>
          <w:b/>
          <w:bCs/>
        </w:rPr>
        <w:t>r.</w:t>
      </w:r>
      <w:r w:rsidRPr="004C0C50">
        <w:t xml:space="preserve"> </w:t>
      </w:r>
    </w:p>
    <w:p w14:paraId="3F88F930" w14:textId="2F69FE07" w:rsidR="000C5CD5" w:rsidRPr="000C5CD5" w:rsidRDefault="000C5CD5" w:rsidP="000C5CD5">
      <w:pPr>
        <w:spacing w:line="276" w:lineRule="auto"/>
        <w:jc w:val="both"/>
      </w:pPr>
      <w:r>
        <w:t xml:space="preserve">Zadanie 2 - </w:t>
      </w:r>
      <w:r w:rsidRPr="00814B7A">
        <w:t xml:space="preserve">w terminie </w:t>
      </w:r>
      <w:r w:rsidRPr="004C0C50">
        <w:t xml:space="preserve">do dnia </w:t>
      </w:r>
      <w:r>
        <w:rPr>
          <w:b/>
          <w:bCs/>
        </w:rPr>
        <w:t>15</w:t>
      </w:r>
      <w:r w:rsidRPr="004C0C50">
        <w:rPr>
          <w:b/>
          <w:bCs/>
        </w:rPr>
        <w:t>.</w:t>
      </w:r>
      <w:r w:rsidR="003B1257">
        <w:rPr>
          <w:b/>
          <w:bCs/>
        </w:rPr>
        <w:t>10</w:t>
      </w:r>
      <w:r>
        <w:rPr>
          <w:b/>
          <w:bCs/>
        </w:rPr>
        <w:t>.2022</w:t>
      </w:r>
      <w:r w:rsidRPr="004C0C50">
        <w:rPr>
          <w:b/>
          <w:bCs/>
        </w:rPr>
        <w:t>r.</w:t>
      </w:r>
      <w:r w:rsidR="0025297B">
        <w:rPr>
          <w:b/>
          <w:bCs/>
        </w:rPr>
        <w:t xml:space="preserve">- </w:t>
      </w:r>
      <w:r w:rsidR="0025297B" w:rsidRPr="0025297B">
        <w:rPr>
          <w:bCs/>
        </w:rPr>
        <w:t>przy czym rozliczenie płatności w 2022 roku</w:t>
      </w:r>
      <w:r w:rsidR="00CF617F">
        <w:rPr>
          <w:b/>
          <w:bCs/>
        </w:rPr>
        <w:t xml:space="preserve"> </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0C5CD5" w:rsidRDefault="00015332" w:rsidP="00A722E5">
      <w:pPr>
        <w:autoSpaceDE w:val="0"/>
        <w:autoSpaceDN w:val="0"/>
        <w:adjustRightInd w:val="0"/>
        <w:spacing w:line="276" w:lineRule="auto"/>
        <w:ind w:left="709"/>
        <w:jc w:val="both"/>
        <w:rPr>
          <w:sz w:val="22"/>
          <w:szCs w:val="22"/>
        </w:rPr>
      </w:pPr>
      <w:r w:rsidRPr="000C5CD5">
        <w:rPr>
          <w:sz w:val="22"/>
          <w:szCs w:val="22"/>
        </w:rPr>
        <w:t>Wykonawca musi wykazać się wiedzą i doświadczeniem</w:t>
      </w:r>
      <w:r w:rsidR="00281F1E" w:rsidRPr="000C5CD5">
        <w:rPr>
          <w:sz w:val="22"/>
          <w:szCs w:val="22"/>
        </w:rPr>
        <w:t xml:space="preserve"> </w:t>
      </w:r>
      <w:r w:rsidRPr="000C5CD5">
        <w:rPr>
          <w:sz w:val="22"/>
          <w:szCs w:val="22"/>
        </w:rPr>
        <w:t xml:space="preserve"> w wykonaniu (zakończeniu) w okresie ostatnich 5 lat przed upływem terminu składania ofert, a jeżeli okres prowadzenia działalnośc</w:t>
      </w:r>
      <w:r w:rsidR="00E40D2A" w:rsidRPr="000C5CD5">
        <w:rPr>
          <w:sz w:val="22"/>
          <w:szCs w:val="22"/>
        </w:rPr>
        <w:t>i jest krótszy – w tym okresie,</w:t>
      </w:r>
      <w:r w:rsidR="00A9113D" w:rsidRPr="000C5CD5">
        <w:rPr>
          <w:sz w:val="22"/>
          <w:szCs w:val="22"/>
        </w:rPr>
        <w:t xml:space="preserve"> </w:t>
      </w:r>
      <w:r w:rsidR="004F497B" w:rsidRPr="000C5CD5">
        <w:rPr>
          <w:sz w:val="22"/>
          <w:szCs w:val="22"/>
        </w:rPr>
        <w:t>co najmniej</w:t>
      </w:r>
      <w:r w:rsidR="000E1377" w:rsidRPr="000C5CD5">
        <w:rPr>
          <w:sz w:val="22"/>
          <w:szCs w:val="22"/>
        </w:rPr>
        <w:t>:</w:t>
      </w:r>
    </w:p>
    <w:p w14:paraId="17EA6A97" w14:textId="434D479A" w:rsidR="000C5CD5" w:rsidRPr="000C5CD5" w:rsidRDefault="000C5CD5" w:rsidP="000C5CD5">
      <w:pPr>
        <w:pStyle w:val="Akapitzlist"/>
        <w:numPr>
          <w:ilvl w:val="0"/>
          <w:numId w:val="39"/>
        </w:numPr>
        <w:autoSpaceDE w:val="0"/>
        <w:autoSpaceDN w:val="0"/>
        <w:spacing w:line="300" w:lineRule="auto"/>
        <w:ind w:left="1134" w:hanging="283"/>
        <w:contextualSpacing/>
        <w:jc w:val="both"/>
        <w:rPr>
          <w:rFonts w:ascii="Times New Roman" w:hAnsi="Times New Roman" w:cs="Times New Roman"/>
        </w:rPr>
      </w:pPr>
      <w:bookmarkStart w:id="0" w:name="_Hlk20125402"/>
      <w:r w:rsidRPr="000C5CD5">
        <w:rPr>
          <w:rFonts w:ascii="Times New Roman" w:hAnsi="Times New Roman" w:cs="Times New Roman"/>
        </w:rPr>
        <w:t xml:space="preserve">co najmniej jedną robotę budowlą w formule „zaprojektuj i wybuduj” (obejmującą swym zakresem opracowanie dokumentacji projektowej z uwzględnieniem wielobranżowych projektów budowlanych, wielobranżowych projektów wykonawczych i </w:t>
      </w:r>
      <w:proofErr w:type="spellStart"/>
      <w:r w:rsidRPr="000C5CD5">
        <w:rPr>
          <w:rFonts w:ascii="Times New Roman" w:hAnsi="Times New Roman" w:cs="Times New Roman"/>
        </w:rPr>
        <w:t>STWiOR</w:t>
      </w:r>
      <w:proofErr w:type="spellEnd"/>
      <w:r w:rsidRPr="000C5CD5">
        <w:rPr>
          <w:rFonts w:ascii="Times New Roman" w:hAnsi="Times New Roman" w:cs="Times New Roman"/>
        </w:rPr>
        <w:t xml:space="preserve"> </w:t>
      </w:r>
      <w:r w:rsidRPr="000C5CD5">
        <w:rPr>
          <w:rFonts w:ascii="Times New Roman" w:hAnsi="Times New Roman" w:cs="Times New Roman"/>
        </w:rPr>
        <w:br/>
        <w:t>oraz wykonanie na jej podstawie robót budowlanych) polegającą na budowie lub przebudowie budynku użyteczności publicznej oraz załączy dowody określające czy robota ta została wykonana należycie, w szczególności czy została wykonana zgodnie z przepisami prawa budowlanego i prawidłowo ukończona.</w:t>
      </w:r>
    </w:p>
    <w:p w14:paraId="1707D7D5" w14:textId="77777777" w:rsidR="000C5CD5" w:rsidRPr="000C5CD5" w:rsidRDefault="000C5CD5" w:rsidP="000C5CD5">
      <w:pPr>
        <w:spacing w:line="300" w:lineRule="auto"/>
        <w:ind w:left="709"/>
        <w:jc w:val="both"/>
        <w:rPr>
          <w:sz w:val="22"/>
          <w:szCs w:val="22"/>
        </w:rPr>
      </w:pPr>
      <w:r w:rsidRPr="000C5CD5">
        <w:rPr>
          <w:sz w:val="22"/>
          <w:szCs w:val="22"/>
        </w:rPr>
        <w:t>Wskazane wyżej wymaganie dotyczące doświadczenia Wykonawca może spełnić jeżeli wykaże, iż odrębnie wykonał:</w:t>
      </w:r>
    </w:p>
    <w:p w14:paraId="22EFC9F7" w14:textId="118926FC" w:rsidR="000C5CD5" w:rsidRPr="000C5CD5" w:rsidRDefault="000C5CD5" w:rsidP="000C5CD5">
      <w:pPr>
        <w:pStyle w:val="Akapitzlist"/>
        <w:numPr>
          <w:ilvl w:val="0"/>
          <w:numId w:val="38"/>
        </w:numPr>
        <w:autoSpaceDE w:val="0"/>
        <w:autoSpaceDN w:val="0"/>
        <w:spacing w:line="300" w:lineRule="auto"/>
        <w:ind w:left="1134"/>
        <w:contextualSpacing/>
        <w:jc w:val="both"/>
        <w:rPr>
          <w:rFonts w:ascii="Times New Roman" w:hAnsi="Times New Roman" w:cs="Times New Roman"/>
        </w:rPr>
      </w:pPr>
      <w:r w:rsidRPr="000C5CD5">
        <w:rPr>
          <w:rFonts w:ascii="Times New Roman" w:hAnsi="Times New Roman" w:cs="Times New Roman"/>
        </w:rPr>
        <w:t xml:space="preserve">co najmniej jedną usługę projektową (obejmującą swym zakresem opracowanie dokumentacji projektowej z uwzględnieniem wielobranżowych projektów budowlanych, wielobranżowych projektów wykonawczych i </w:t>
      </w:r>
      <w:proofErr w:type="spellStart"/>
      <w:r w:rsidRPr="000C5CD5">
        <w:rPr>
          <w:rFonts w:ascii="Times New Roman" w:hAnsi="Times New Roman" w:cs="Times New Roman"/>
        </w:rPr>
        <w:t>STWiOR</w:t>
      </w:r>
      <w:proofErr w:type="spellEnd"/>
      <w:r w:rsidRPr="000C5CD5">
        <w:rPr>
          <w:rFonts w:ascii="Times New Roman" w:hAnsi="Times New Roman" w:cs="Times New Roman"/>
        </w:rPr>
        <w:t>) związaną z budową lub przebudową budynku użyteczności publicznej oraz załączy dowody określające czy usługa ta została wykonana należycie</w:t>
      </w:r>
    </w:p>
    <w:p w14:paraId="6423DC6C" w14:textId="77777777" w:rsidR="000C5CD5" w:rsidRPr="000C5CD5" w:rsidRDefault="000C5CD5" w:rsidP="000C5CD5">
      <w:pPr>
        <w:pStyle w:val="Akapitzlist"/>
        <w:spacing w:line="300" w:lineRule="auto"/>
        <w:ind w:left="1134"/>
        <w:jc w:val="both"/>
        <w:rPr>
          <w:rFonts w:ascii="Times New Roman" w:hAnsi="Times New Roman" w:cs="Times New Roman"/>
        </w:rPr>
      </w:pPr>
      <w:r w:rsidRPr="000C5CD5">
        <w:rPr>
          <w:rFonts w:ascii="Times New Roman" w:hAnsi="Times New Roman" w:cs="Times New Roman"/>
        </w:rPr>
        <w:lastRenderedPageBreak/>
        <w:t>oraz</w:t>
      </w:r>
    </w:p>
    <w:p w14:paraId="4ECC1751" w14:textId="55A94C37" w:rsidR="000C5CD5" w:rsidRPr="000C5CD5" w:rsidRDefault="000C5CD5" w:rsidP="000C5CD5">
      <w:pPr>
        <w:pStyle w:val="Akapitzlist"/>
        <w:numPr>
          <w:ilvl w:val="0"/>
          <w:numId w:val="38"/>
        </w:numPr>
        <w:autoSpaceDE w:val="0"/>
        <w:autoSpaceDN w:val="0"/>
        <w:spacing w:line="300" w:lineRule="auto"/>
        <w:ind w:left="1134"/>
        <w:contextualSpacing/>
        <w:jc w:val="both"/>
        <w:rPr>
          <w:rFonts w:ascii="Times New Roman" w:hAnsi="Times New Roman" w:cs="Times New Roman"/>
          <w:b/>
          <w:bCs/>
          <w:u w:val="single"/>
        </w:rPr>
      </w:pPr>
      <w:r w:rsidRPr="000C5CD5">
        <w:rPr>
          <w:rFonts w:ascii="Times New Roman" w:hAnsi="Times New Roman" w:cs="Times New Roman"/>
        </w:rPr>
        <w:t xml:space="preserve">co najmniej jedną robotę budowlaną polegającą na budowie lub przebudowie budynku użyteczności oraz załączy dowody określające czy robota ta została wykonana należycie, w szczególności czy została wykonana zgodnie z przepisami prawa budowlanego i prawidłowo ukończona. </w:t>
      </w:r>
    </w:p>
    <w:bookmarkEnd w:id="0"/>
    <w:p w14:paraId="06A7507A" w14:textId="77777777" w:rsidR="000C5CD5" w:rsidRPr="000C5CD5" w:rsidRDefault="000C5CD5" w:rsidP="000C5CD5">
      <w:pPr>
        <w:tabs>
          <w:tab w:val="num" w:pos="1080"/>
        </w:tabs>
        <w:spacing w:line="300" w:lineRule="auto"/>
        <w:ind w:left="709"/>
        <w:jc w:val="both"/>
        <w:rPr>
          <w:sz w:val="22"/>
          <w:szCs w:val="22"/>
        </w:rPr>
      </w:pPr>
      <w:r w:rsidRPr="000C5CD5">
        <w:rPr>
          <w:sz w:val="22"/>
          <w:szCs w:val="22"/>
        </w:rPr>
        <w:t>Za budowę Zamawiający uzna wykonanie obiektu budowlanego, a także jego odbudowę, rozbudowę, nadbudowę, zgodnie z definicjami określonymi w ustawie z dnia 7 lipca 1994 r. Prawo budowlane (</w:t>
      </w:r>
      <w:proofErr w:type="spellStart"/>
      <w:r w:rsidRPr="000C5CD5">
        <w:rPr>
          <w:sz w:val="22"/>
          <w:szCs w:val="22"/>
        </w:rPr>
        <w:t>t.j</w:t>
      </w:r>
      <w:proofErr w:type="spellEnd"/>
      <w:r w:rsidRPr="000C5CD5">
        <w:rPr>
          <w:sz w:val="22"/>
          <w:szCs w:val="22"/>
        </w:rPr>
        <w:t xml:space="preserve">. Dz. U. z 2019 r. poz. 1186 z </w:t>
      </w:r>
      <w:proofErr w:type="spellStart"/>
      <w:r w:rsidRPr="000C5CD5">
        <w:rPr>
          <w:sz w:val="22"/>
          <w:szCs w:val="22"/>
        </w:rPr>
        <w:t>późn</w:t>
      </w:r>
      <w:proofErr w:type="spellEnd"/>
      <w:r w:rsidRPr="000C5CD5">
        <w:rPr>
          <w:sz w:val="22"/>
          <w:szCs w:val="22"/>
        </w:rPr>
        <w:t xml:space="preserve">. zm.). </w:t>
      </w:r>
    </w:p>
    <w:p w14:paraId="5BC707D3" w14:textId="77777777" w:rsidR="000C5CD5" w:rsidRPr="000C5CD5" w:rsidRDefault="000C5CD5" w:rsidP="000C5CD5">
      <w:pPr>
        <w:tabs>
          <w:tab w:val="num" w:pos="1080"/>
        </w:tabs>
        <w:spacing w:line="300" w:lineRule="auto"/>
        <w:ind w:left="709"/>
        <w:jc w:val="both"/>
        <w:rPr>
          <w:sz w:val="22"/>
          <w:szCs w:val="22"/>
        </w:rPr>
      </w:pPr>
      <w:r w:rsidRPr="000C5CD5">
        <w:rPr>
          <w:sz w:val="22"/>
          <w:szCs w:val="22"/>
        </w:rPr>
        <w:t>Pod pojęciem budynek użyteczności publicznej należy rozumieć budynek, którego definicja określona jest w §3 pkt 6 Rozporządzenia Ministra Infrastruktury z dnia 12 kwietnia 2002 r. w sprawie warunków technicznych, jakim powinny odpowiadać budynki i ich usytuowanie (</w:t>
      </w:r>
      <w:proofErr w:type="spellStart"/>
      <w:r w:rsidRPr="000C5CD5">
        <w:rPr>
          <w:sz w:val="22"/>
          <w:szCs w:val="22"/>
        </w:rPr>
        <w:t>t.j</w:t>
      </w:r>
      <w:proofErr w:type="spellEnd"/>
      <w:r w:rsidRPr="000C5CD5">
        <w:rPr>
          <w:sz w:val="22"/>
          <w:szCs w:val="22"/>
        </w:rPr>
        <w:t xml:space="preserve">. Dz. U. z 2019 r. poz. 1065). </w:t>
      </w:r>
    </w:p>
    <w:p w14:paraId="08283D27" w14:textId="77777777" w:rsidR="00924D6F" w:rsidRDefault="00924D6F" w:rsidP="00A722E5">
      <w:pPr>
        <w:autoSpaceDE w:val="0"/>
        <w:autoSpaceDN w:val="0"/>
        <w:adjustRightInd w:val="0"/>
        <w:spacing w:line="276" w:lineRule="auto"/>
        <w:ind w:left="709"/>
        <w:jc w:val="both"/>
        <w:rPr>
          <w:sz w:val="22"/>
          <w:lang w:eastAsia="ar-SA"/>
        </w:rPr>
      </w:pP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lastRenderedPageBreak/>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w:t>
      </w:r>
      <w:r w:rsidRPr="00A722E5">
        <w:rPr>
          <w:b w:val="0"/>
          <w:sz w:val="22"/>
          <w:szCs w:val="22"/>
        </w:rPr>
        <w:lastRenderedPageBreak/>
        <w:t xml:space="preserve">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lastRenderedPageBreak/>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Default="007C22BE" w:rsidP="00A722E5">
      <w:pPr>
        <w:pStyle w:val="Tekstpodstawowy2"/>
        <w:spacing w:line="276" w:lineRule="auto"/>
        <w:ind w:left="709" w:hanging="1"/>
        <w:rPr>
          <w:b w:val="0"/>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3B11ED6B" w14:textId="5ECC6840" w:rsidR="005F7CF8" w:rsidRPr="005F7CF8" w:rsidRDefault="005F7CF8" w:rsidP="00A722E5">
      <w:pPr>
        <w:pStyle w:val="Tekstpodstawowy2"/>
        <w:spacing w:line="276" w:lineRule="auto"/>
        <w:ind w:left="709" w:hanging="1"/>
        <w:rPr>
          <w:b w:val="0"/>
          <w:i/>
          <w:sz w:val="22"/>
          <w:szCs w:val="22"/>
        </w:rPr>
      </w:pPr>
      <w:r w:rsidRPr="005F7CF8">
        <w:rPr>
          <w:b w:val="0"/>
          <w:sz w:val="22"/>
          <w:szCs w:val="22"/>
        </w:rPr>
        <w:t>-</w:t>
      </w:r>
      <w:bookmarkStart w:id="1" w:name="_GoBack"/>
      <w:bookmarkEnd w:id="1"/>
      <w:r w:rsidRPr="005F7CF8">
        <w:rPr>
          <w:b w:val="0"/>
          <w:sz w:val="22"/>
          <w:szCs w:val="22"/>
        </w:rPr>
        <w:t xml:space="preserve"> </w:t>
      </w:r>
      <w:r w:rsidRPr="005F7CF8">
        <w:rPr>
          <w:b w:val="0"/>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Pr>
          <w:b w:val="0"/>
          <w:sz w:val="22"/>
          <w:szCs w:val="22"/>
        </w:rPr>
        <w:t xml:space="preserve">. </w:t>
      </w:r>
      <w:r w:rsidRPr="005F7CF8">
        <w:rPr>
          <w:b w:val="0"/>
          <w:sz w:val="22"/>
          <w:szCs w:val="22"/>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 xml:space="preserve">Wykonawca  może w celu potwierdzenia spełniania warunków udziału w postępowaniu, w stosownych sytuacjach oraz w odniesieniu do zamówienia, lub jego części, polegać na </w:t>
      </w:r>
      <w:r w:rsidRPr="00A722E5">
        <w:rPr>
          <w:b w:val="0"/>
          <w:iCs/>
          <w:sz w:val="22"/>
          <w:szCs w:val="22"/>
        </w:rPr>
        <w:lastRenderedPageBreak/>
        <w:t>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lastRenderedPageBreak/>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3D931655"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w rozumieniu ustawy z dnia 23 listopada 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lastRenderedPageBreak/>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3B5DA64E"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Zamawiający 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 xml:space="preserve">Oferta powinna być podpisana przez osobę upoważnioną do reprezentowania Wykonawcy, zgodnie z formą reprezentacji Wykonawcy określoną w rejestrze lub innym dokumencie, </w:t>
      </w:r>
      <w:r w:rsidRPr="00A722E5">
        <w:rPr>
          <w:b w:val="0"/>
          <w:bCs w:val="0"/>
          <w:sz w:val="22"/>
          <w:szCs w:val="22"/>
        </w:rPr>
        <w:lastRenderedPageBreak/>
        <w:t>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4A35A492" w:rsidR="00015332" w:rsidRDefault="00015332" w:rsidP="00A722E5">
            <w:pPr>
              <w:spacing w:line="276" w:lineRule="auto"/>
              <w:ind w:left="-35"/>
              <w:jc w:val="center"/>
              <w:rPr>
                <w:b/>
                <w:bCs/>
              </w:rPr>
            </w:pPr>
            <w:r w:rsidRPr="00AD370A">
              <w:rPr>
                <w:b/>
                <w:bCs/>
              </w:rPr>
              <w:t xml:space="preserve">nr postępowania </w:t>
            </w:r>
            <w:r w:rsidR="00962D65">
              <w:rPr>
                <w:b/>
                <w:bCs/>
              </w:rPr>
              <w:t>ZP.271.7</w:t>
            </w:r>
            <w:r w:rsidR="00CF0F2E">
              <w:rPr>
                <w:b/>
                <w:bCs/>
              </w:rPr>
              <w:t>.2020</w:t>
            </w:r>
          </w:p>
          <w:p w14:paraId="2654A600" w14:textId="77777777" w:rsidR="00EC3ECF" w:rsidRPr="00AD370A" w:rsidRDefault="00EC3ECF" w:rsidP="00A722E5">
            <w:pPr>
              <w:spacing w:line="276" w:lineRule="auto"/>
              <w:ind w:left="-35"/>
              <w:jc w:val="center"/>
              <w:rPr>
                <w:b/>
              </w:rPr>
            </w:pPr>
          </w:p>
          <w:p w14:paraId="4ED1F64F" w14:textId="77777777" w:rsidR="00962D65" w:rsidRPr="00962D65" w:rsidRDefault="00962D65" w:rsidP="00EC3ECF">
            <w:pPr>
              <w:spacing w:before="120" w:line="276" w:lineRule="auto"/>
              <w:ind w:left="-35"/>
              <w:jc w:val="center"/>
              <w:rPr>
                <w:rFonts w:eastAsia="Calibri"/>
                <w:b/>
                <w:bCs/>
              </w:rPr>
            </w:pPr>
            <w:r w:rsidRPr="00962D65">
              <w:rPr>
                <w:b/>
              </w:rPr>
              <w:t xml:space="preserve">Przebudowa świetlic wiejskich w Zwierzynie i w Górkach Noteckich </w:t>
            </w:r>
            <w:r w:rsidRPr="00962D65">
              <w:rPr>
                <w:rFonts w:eastAsia="Calibri"/>
                <w:b/>
                <w:bCs/>
              </w:rPr>
              <w:t xml:space="preserve"> – w systemie „zaprojektuj i wybuduj”</w:t>
            </w:r>
          </w:p>
          <w:p w14:paraId="46750095" w14:textId="2364ABDB" w:rsidR="007827F7" w:rsidRPr="00A722E5" w:rsidRDefault="00EC3ECF" w:rsidP="00B119AE">
            <w:pPr>
              <w:spacing w:before="120" w:line="276" w:lineRule="auto"/>
              <w:ind w:left="-35"/>
              <w:jc w:val="center"/>
              <w:rPr>
                <w:b/>
                <w:bCs/>
              </w:rPr>
            </w:pPr>
            <w:r w:rsidRPr="000325CD">
              <w:rPr>
                <w:b/>
                <w:bCs/>
              </w:rPr>
              <w:lastRenderedPageBreak/>
              <w:t xml:space="preserve"> </w:t>
            </w:r>
            <w:r w:rsidR="00015332" w:rsidRPr="000325CD">
              <w:rPr>
                <w:b/>
                <w:bCs/>
              </w:rPr>
              <w:t xml:space="preserve">„Nie otwierać przed dniem </w:t>
            </w:r>
            <w:r w:rsidR="00B119AE">
              <w:rPr>
                <w:b/>
                <w:bCs/>
              </w:rPr>
              <w:t>15.12</w:t>
            </w:r>
            <w:r w:rsidR="00045779">
              <w:rPr>
                <w:b/>
                <w:bCs/>
              </w:rPr>
              <w:t>.2020</w:t>
            </w:r>
            <w:r w:rsidR="00015332" w:rsidRPr="000325CD">
              <w:rPr>
                <w:b/>
                <w:bCs/>
              </w:rPr>
              <w:t xml:space="preserve"> godz. </w:t>
            </w:r>
            <w:r w:rsidR="00F05285" w:rsidRPr="000325CD">
              <w:rPr>
                <w:b/>
                <w:bCs/>
              </w:rPr>
              <w:t>10.00</w:t>
            </w:r>
            <w:r w:rsidR="00015332" w:rsidRPr="000325CD">
              <w:rPr>
                <w:b/>
                <w:bCs/>
              </w:rPr>
              <w:t>”</w:t>
            </w: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44BA3F1B"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lastRenderedPageBreak/>
        <w:t xml:space="preserve">Wykonawca jest zobowiązany do wniesienia wadium w wysokości </w:t>
      </w:r>
      <w:r w:rsidR="00840D30">
        <w:rPr>
          <w:b/>
          <w:bCs/>
          <w:i w:val="0"/>
          <w:sz w:val="22"/>
          <w:szCs w:val="22"/>
        </w:rPr>
        <w:t>1</w:t>
      </w:r>
      <w:r w:rsidR="00B90F72">
        <w:rPr>
          <w:b/>
          <w:bCs/>
          <w:i w:val="0"/>
          <w:sz w:val="22"/>
          <w:szCs w:val="22"/>
        </w:rPr>
        <w:t>0</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840D30">
        <w:rPr>
          <w:b/>
          <w:bCs/>
          <w:i w:val="0"/>
          <w:sz w:val="22"/>
          <w:szCs w:val="22"/>
        </w:rPr>
        <w:t>dziesięć</w:t>
      </w:r>
      <w:r w:rsidR="00B90F72" w:rsidRPr="00B90F72">
        <w:rPr>
          <w:b/>
          <w:bCs/>
          <w:i w:val="0"/>
          <w:sz w:val="22"/>
          <w:szCs w:val="22"/>
        </w:rPr>
        <w:t xml:space="preserve"> tysięcy</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2EB14F71" w14:textId="5FDAB50F" w:rsidR="00EC3ECF" w:rsidRPr="00EC3ECF" w:rsidRDefault="00FA7BAA" w:rsidP="00EC3ECF">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EC3ECF">
        <w:rPr>
          <w:rFonts w:eastAsia="Calibri"/>
          <w:bCs/>
          <w:i w:val="0"/>
          <w:sz w:val="22"/>
          <w:szCs w:val="22"/>
        </w:rPr>
        <w:t>„</w:t>
      </w:r>
      <w:r w:rsidR="00EC3ECF" w:rsidRPr="00EC3ECF">
        <w:rPr>
          <w:i w:val="0"/>
        </w:rPr>
        <w:t>Sieć kanalizacji sanitarnej w m. Górki Noteckie – w systemie „zaprojektuj i wybuduj”</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6CDC758F"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w:t>
      </w:r>
      <w:r w:rsidR="00045779">
        <w:rPr>
          <w:i w:val="0"/>
          <w:sz w:val="22"/>
          <w:szCs w:val="22"/>
        </w:rPr>
        <w:t>gody na poprawienie omyłki,</w:t>
      </w:r>
      <w:r w:rsidRPr="00A722E5">
        <w:rPr>
          <w:i w:val="0"/>
          <w:sz w:val="22"/>
          <w:szCs w:val="22"/>
        </w:rPr>
        <w:t xml:space="preserve"> o której mowa   w art. 87 ust. 2 </w:t>
      </w:r>
      <w:r w:rsidRPr="00A722E5">
        <w:rPr>
          <w:i w:val="0"/>
          <w:sz w:val="22"/>
          <w:szCs w:val="22"/>
        </w:rPr>
        <w:lastRenderedPageBreak/>
        <w:t>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5905A94C" w:rsidR="00015332" w:rsidRPr="00B119AE"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w:t>
      </w:r>
      <w:r w:rsidRPr="00B119AE">
        <w:rPr>
          <w:sz w:val="22"/>
          <w:szCs w:val="22"/>
        </w:rPr>
        <w:t xml:space="preserve">terminie </w:t>
      </w:r>
      <w:r w:rsidRPr="00B119AE">
        <w:rPr>
          <w:b/>
          <w:sz w:val="22"/>
          <w:szCs w:val="22"/>
        </w:rPr>
        <w:t xml:space="preserve">do </w:t>
      </w:r>
      <w:r w:rsidR="00B119AE" w:rsidRPr="00B119AE">
        <w:rPr>
          <w:b/>
          <w:sz w:val="22"/>
          <w:szCs w:val="22"/>
        </w:rPr>
        <w:t>15.12</w:t>
      </w:r>
      <w:r w:rsidR="00045779" w:rsidRPr="00B119AE">
        <w:rPr>
          <w:b/>
          <w:sz w:val="22"/>
          <w:szCs w:val="22"/>
        </w:rPr>
        <w:t>.2020</w:t>
      </w:r>
      <w:r w:rsidR="00C7611D" w:rsidRPr="00B119AE">
        <w:rPr>
          <w:b/>
          <w:sz w:val="22"/>
          <w:szCs w:val="22"/>
        </w:rPr>
        <w:t xml:space="preserve"> r.</w:t>
      </w:r>
      <w:r w:rsidRPr="00B119AE">
        <w:rPr>
          <w:b/>
          <w:sz w:val="22"/>
          <w:szCs w:val="22"/>
        </w:rPr>
        <w:t xml:space="preserve"> do godziny 1</w:t>
      </w:r>
      <w:r w:rsidR="00C7611D" w:rsidRPr="00B119AE">
        <w:rPr>
          <w:b/>
          <w:sz w:val="22"/>
          <w:szCs w:val="22"/>
        </w:rPr>
        <w:t>0</w:t>
      </w:r>
      <w:r w:rsidRPr="00B119AE">
        <w:rPr>
          <w:b/>
          <w:sz w:val="22"/>
          <w:szCs w:val="22"/>
        </w:rPr>
        <w:t>:00</w:t>
      </w:r>
      <w:r w:rsidR="008F7DF0" w:rsidRPr="00B119AE">
        <w:rPr>
          <w:b/>
          <w:sz w:val="22"/>
          <w:szCs w:val="22"/>
        </w:rPr>
        <w:t>.</w:t>
      </w:r>
    </w:p>
    <w:p w14:paraId="467500C6" w14:textId="5C29914E" w:rsidR="00015332" w:rsidRPr="00A722E5" w:rsidRDefault="00015332" w:rsidP="00A722E5">
      <w:pPr>
        <w:suppressAutoHyphens/>
        <w:spacing w:before="120" w:line="276" w:lineRule="auto"/>
        <w:ind w:left="709" w:hanging="709"/>
        <w:jc w:val="both"/>
        <w:rPr>
          <w:spacing w:val="4"/>
          <w:sz w:val="22"/>
          <w:szCs w:val="22"/>
        </w:rPr>
      </w:pPr>
      <w:r w:rsidRPr="00B119AE">
        <w:rPr>
          <w:spacing w:val="4"/>
          <w:sz w:val="22"/>
          <w:szCs w:val="22"/>
          <w:lang w:eastAsia="ar-SA"/>
        </w:rPr>
        <w:t>17.2.</w:t>
      </w:r>
      <w:r w:rsidRPr="00B119AE">
        <w:rPr>
          <w:spacing w:val="4"/>
          <w:sz w:val="22"/>
          <w:szCs w:val="22"/>
          <w:lang w:eastAsia="ar-SA"/>
        </w:rPr>
        <w:tab/>
      </w:r>
      <w:r w:rsidRPr="00B119AE">
        <w:rPr>
          <w:b/>
          <w:bCs/>
          <w:spacing w:val="4"/>
          <w:sz w:val="22"/>
          <w:szCs w:val="22"/>
        </w:rPr>
        <w:t>Otwarcie ofert nastąpi</w:t>
      </w:r>
      <w:r w:rsidRPr="00B119AE">
        <w:rPr>
          <w:spacing w:val="4"/>
          <w:sz w:val="22"/>
          <w:szCs w:val="22"/>
        </w:rPr>
        <w:t xml:space="preserve"> w dniu </w:t>
      </w:r>
      <w:r w:rsidR="00B119AE" w:rsidRPr="00B119AE">
        <w:rPr>
          <w:b/>
          <w:sz w:val="22"/>
          <w:szCs w:val="22"/>
        </w:rPr>
        <w:t>15</w:t>
      </w:r>
      <w:r w:rsidR="00A722E5" w:rsidRPr="00B119AE">
        <w:rPr>
          <w:b/>
          <w:sz w:val="22"/>
          <w:szCs w:val="22"/>
        </w:rPr>
        <w:t>.</w:t>
      </w:r>
      <w:r w:rsidR="00B119AE" w:rsidRPr="00B119AE">
        <w:rPr>
          <w:b/>
          <w:sz w:val="22"/>
          <w:szCs w:val="22"/>
        </w:rPr>
        <w:t>12</w:t>
      </w:r>
      <w:r w:rsidR="00A50557" w:rsidRPr="00B119AE">
        <w:rPr>
          <w:b/>
          <w:sz w:val="22"/>
          <w:szCs w:val="22"/>
        </w:rPr>
        <w:t>.</w:t>
      </w:r>
      <w:r w:rsidR="00045779" w:rsidRPr="00B119AE">
        <w:rPr>
          <w:b/>
          <w:spacing w:val="4"/>
          <w:sz w:val="22"/>
          <w:szCs w:val="22"/>
        </w:rPr>
        <w:t>2020</w:t>
      </w:r>
      <w:r w:rsidRPr="00B119AE">
        <w:rPr>
          <w:b/>
          <w:spacing w:val="4"/>
          <w:sz w:val="22"/>
          <w:szCs w:val="22"/>
        </w:rPr>
        <w:t>r.</w:t>
      </w:r>
      <w:r w:rsidRPr="00B119AE">
        <w:rPr>
          <w:spacing w:val="4"/>
          <w:sz w:val="22"/>
          <w:szCs w:val="22"/>
        </w:rPr>
        <w:t xml:space="preserve">, </w:t>
      </w:r>
      <w:r w:rsidRPr="00B119AE">
        <w:rPr>
          <w:b/>
          <w:spacing w:val="4"/>
          <w:sz w:val="22"/>
          <w:szCs w:val="22"/>
        </w:rPr>
        <w:t>o g</w:t>
      </w:r>
      <w:r w:rsidRPr="00A722E5">
        <w:rPr>
          <w:b/>
          <w:spacing w:val="4"/>
          <w:sz w:val="22"/>
          <w:szCs w:val="22"/>
        </w:rPr>
        <w:t>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lastRenderedPageBreak/>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03F6375" w:rsidR="00015332" w:rsidRPr="00A722E5" w:rsidRDefault="00042F5A"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15332" w:rsidRPr="00A722E5">
        <w:rPr>
          <w:rFonts w:ascii="Times New Roman" w:hAnsi="Times New Roman" w:cs="Times New Roman"/>
          <w:b/>
        </w:rPr>
        <w:t>Cena (C)</w:t>
      </w:r>
      <w:r w:rsidR="00015332" w:rsidRPr="00A722E5">
        <w:rPr>
          <w:rFonts w:ascii="Times New Roman" w:hAnsi="Times New Roman" w:cs="Times New Roman"/>
          <w:b/>
        </w:rPr>
        <w:tab/>
        <w:t>– 60 %</w:t>
      </w:r>
      <w:r w:rsidR="00015332"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lastRenderedPageBreak/>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6F499E2F" w:rsidR="002854EA" w:rsidRPr="00A722E5" w:rsidRDefault="00B74597" w:rsidP="00A722E5">
      <w:pPr>
        <w:tabs>
          <w:tab w:val="left" w:pos="720"/>
        </w:tabs>
        <w:spacing w:line="276" w:lineRule="auto"/>
        <w:ind w:left="720"/>
        <w:jc w:val="both"/>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467501D0" wp14:editId="5DE68358">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01D9" w14:textId="77777777" w:rsidR="00AE4A18" w:rsidRPr="00B17882" w:rsidRDefault="00AE4A18"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467501D9" w14:textId="77777777" w:rsidR="00AE4A18" w:rsidRPr="00B17882" w:rsidRDefault="00AE4A18" w:rsidP="00B17882">
                      <w:pPr>
                        <w:rPr>
                          <w:szCs w:val="20"/>
                        </w:rPr>
                      </w:pPr>
                    </w:p>
                  </w:txbxContent>
                </v:textbox>
              </v:shape>
            </w:pict>
          </mc:Fallback>
        </mc:AlternateConten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w:t>
      </w:r>
      <w:r w:rsidR="00015332" w:rsidRPr="00A722E5">
        <w:rPr>
          <w:sz w:val="22"/>
          <w:szCs w:val="22"/>
        </w:rPr>
        <w:lastRenderedPageBreak/>
        <w:t>m.in. zostanie określony pełnomocnik uprawniony do kontaktów z Zamawiającym oraz do wystawiania dokumentów związanych z płatnościami.</w:t>
      </w:r>
    </w:p>
    <w:p w14:paraId="46750126" w14:textId="38696FBD"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5D22D85F" w14:textId="4276155A" w:rsidR="00EC3ECF" w:rsidRPr="00EC3ECF" w:rsidRDefault="00B45FAB" w:rsidP="00EC3ECF">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 xml:space="preserve">LWBS Drezdenko Oddział Zwierzyn nr </w:t>
      </w:r>
      <w:r w:rsidR="006C2D94" w:rsidRPr="00A722E5">
        <w:rPr>
          <w:bCs/>
          <w:sz w:val="22"/>
          <w:szCs w:val="22"/>
        </w:rPr>
        <w:lastRenderedPageBreak/>
        <w:t>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962D65" w:rsidRPr="00962D65">
        <w:rPr>
          <w:color w:val="000000" w:themeColor="text1"/>
          <w:sz w:val="24"/>
          <w:szCs w:val="24"/>
        </w:rPr>
        <w:t xml:space="preserve">Przebudowa świetlic wiejskich w Zwierzynie i w Górkach Noteckich </w:t>
      </w:r>
      <w:r w:rsidR="00962D65" w:rsidRPr="00962D65">
        <w:rPr>
          <w:rFonts w:eastAsia="Calibri"/>
          <w:bCs/>
          <w:sz w:val="24"/>
          <w:szCs w:val="24"/>
        </w:rPr>
        <w:t xml:space="preserve"> – w systemie „zaprojektuj i wybuduj”</w:t>
      </w:r>
    </w:p>
    <w:p w14:paraId="5C1CEFA8" w14:textId="77777777" w:rsidR="00EC3ECF" w:rsidRPr="00A722E5" w:rsidRDefault="00EC3ECF" w:rsidP="00EC3ECF">
      <w:pPr>
        <w:pStyle w:val="Tekstpodstawowywcity"/>
        <w:spacing w:line="276" w:lineRule="auto"/>
        <w:ind w:left="720"/>
        <w:jc w:val="both"/>
        <w:rPr>
          <w:sz w:val="22"/>
          <w:szCs w:val="22"/>
        </w:rPr>
      </w:pP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722E5" w:rsidRDefault="00015332" w:rsidP="00A722E5">
      <w:pPr>
        <w:spacing w:line="276" w:lineRule="auto"/>
        <w:ind w:left="705" w:hanging="705"/>
        <w:jc w:val="both"/>
        <w:rPr>
          <w:sz w:val="22"/>
          <w:szCs w:val="22"/>
        </w:rPr>
      </w:pPr>
    </w:p>
    <w:p w14:paraId="09EFA8CF" w14:textId="5DE45DBD" w:rsidR="00252EBA" w:rsidRPr="00A722E5" w:rsidRDefault="00252EBA" w:rsidP="00252EBA">
      <w:pPr>
        <w:suppressAutoHyphens/>
        <w:spacing w:before="120" w:line="276" w:lineRule="auto"/>
        <w:ind w:left="709" w:right="-567" w:hanging="709"/>
        <w:rPr>
          <w:rStyle w:val="tekstdokbold"/>
          <w:sz w:val="22"/>
          <w:szCs w:val="22"/>
        </w:rPr>
      </w:pPr>
      <w:r w:rsidRPr="00A722E5">
        <w:rPr>
          <w:b/>
          <w:sz w:val="22"/>
          <w:szCs w:val="22"/>
          <w:lang w:eastAsia="ar-SA"/>
        </w:rPr>
        <w:t>2</w:t>
      </w:r>
      <w:r>
        <w:rPr>
          <w:b/>
          <w:sz w:val="22"/>
          <w:szCs w:val="22"/>
          <w:lang w:eastAsia="ar-SA"/>
        </w:rPr>
        <w:t>3</w:t>
      </w:r>
      <w:r w:rsidRPr="00A722E5">
        <w:rPr>
          <w:b/>
          <w:sz w:val="22"/>
          <w:szCs w:val="22"/>
          <w:lang w:eastAsia="ar-SA"/>
        </w:rPr>
        <w:t>.</w:t>
      </w:r>
      <w:r w:rsidRPr="00A722E5">
        <w:rPr>
          <w:b/>
          <w:sz w:val="22"/>
          <w:szCs w:val="22"/>
          <w:lang w:eastAsia="ar-SA"/>
        </w:rPr>
        <w:tab/>
      </w:r>
      <w:r w:rsidRPr="008D1A63">
        <w:rPr>
          <w:b/>
          <w:sz w:val="22"/>
        </w:rPr>
        <w:t>KLAUZULA INFORMACYJNA</w:t>
      </w:r>
    </w:p>
    <w:p w14:paraId="46750159" w14:textId="77777777" w:rsidR="00015332" w:rsidRPr="00A722E5" w:rsidRDefault="00015332" w:rsidP="00A722E5">
      <w:pPr>
        <w:spacing w:line="276" w:lineRule="auto"/>
        <w:ind w:left="705" w:hanging="705"/>
        <w:jc w:val="both"/>
        <w:rPr>
          <w:sz w:val="22"/>
          <w:szCs w:val="22"/>
        </w:rPr>
      </w:pPr>
    </w:p>
    <w:p w14:paraId="624276BC" w14:textId="77777777" w:rsidR="00252EBA" w:rsidRPr="008D1A63" w:rsidRDefault="00252EBA" w:rsidP="00EC4BEB">
      <w:pPr>
        <w:spacing w:before="120" w:line="276" w:lineRule="auto"/>
        <w:ind w:left="720" w:hanging="12"/>
        <w:jc w:val="both"/>
        <w:rPr>
          <w:sz w:val="22"/>
        </w:rPr>
      </w:pPr>
      <w:r w:rsidRPr="008D1A63">
        <w:rPr>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8D1A63">
        <w:rPr>
          <w:sz w:val="22"/>
        </w:rPr>
        <w:lastRenderedPageBreak/>
        <w:t>dyrektywy 95/46/WE (ogólne rozporządzenie o ochronie danych, zwane dalej „RODO”)  (Dz. U. UE. L. 119.1  z 04.05.2016) informuję, iż:</w:t>
      </w:r>
    </w:p>
    <w:p w14:paraId="2AD1EC3B" w14:textId="77777777" w:rsidR="00252EBA" w:rsidRPr="008D1A63" w:rsidRDefault="00252EBA" w:rsidP="00EC4BEB">
      <w:pPr>
        <w:spacing w:before="120" w:line="276" w:lineRule="auto"/>
        <w:ind w:left="720" w:hanging="12"/>
        <w:jc w:val="both"/>
        <w:rPr>
          <w:sz w:val="22"/>
        </w:rPr>
      </w:pPr>
      <w:r w:rsidRPr="008D1A63">
        <w:rPr>
          <w:sz w:val="22"/>
        </w:rPr>
        <w:t xml:space="preserve">1) Administratorem danych osobowych jest Gmina Zwierzyn. Z administratorem można się skontaktować poprzez adres email: </w:t>
      </w:r>
      <w:hyperlink r:id="rId15" w:history="1">
        <w:r w:rsidRPr="008D1A63">
          <w:rPr>
            <w:rStyle w:val="Hipercze"/>
            <w:sz w:val="22"/>
          </w:rPr>
          <w:t>ugminy@zwierzyn.pl</w:t>
        </w:r>
      </w:hyperlink>
      <w:r w:rsidRPr="008D1A63">
        <w:rPr>
          <w:sz w:val="22"/>
        </w:rPr>
        <w:t xml:space="preserve"> lub pisemnie na adres siedziby administratora;</w:t>
      </w:r>
    </w:p>
    <w:p w14:paraId="7268FDFD" w14:textId="77777777" w:rsidR="00EC4BEB" w:rsidRDefault="00252EBA" w:rsidP="00EC4BEB">
      <w:pPr>
        <w:spacing w:before="120" w:line="276" w:lineRule="auto"/>
        <w:ind w:left="720" w:hanging="12"/>
        <w:jc w:val="both"/>
        <w:rPr>
          <w:color w:val="000000"/>
          <w:sz w:val="22"/>
        </w:rPr>
      </w:pPr>
      <w:r w:rsidRPr="008D1A63">
        <w:rPr>
          <w:color w:val="000000"/>
          <w:sz w:val="22"/>
        </w:rPr>
        <w:t xml:space="preserve">2) Administrator wyznaczył inspektora ochrony danych, z którym może się Pani/Pan skontaktować poprzez email  </w:t>
      </w:r>
      <w:hyperlink r:id="rId16" w:history="1">
        <w:r w:rsidRPr="008D1A63">
          <w:rPr>
            <w:rStyle w:val="Hipercze"/>
            <w:sz w:val="22"/>
          </w:rPr>
          <w:t>iodo@zwierzyn.pl</w:t>
        </w:r>
      </w:hyperlink>
      <w:r w:rsidRPr="008D1A63">
        <w:rPr>
          <w:sz w:val="22"/>
        </w:rPr>
        <w:t xml:space="preserve">. </w:t>
      </w:r>
      <w:r w:rsidRPr="008D1A63">
        <w:rPr>
          <w:color w:val="000000"/>
          <w:sz w:val="22"/>
        </w:rPr>
        <w:t>Z inspektorem ochrony danych można się kontaktować we wszystkich sprawach dotyczących przetwarzania danych osobowych oraz korzystania z praw zwią</w:t>
      </w:r>
      <w:r w:rsidR="00EC4BEB">
        <w:rPr>
          <w:color w:val="000000"/>
          <w:sz w:val="22"/>
        </w:rPr>
        <w:t>zanych z przetwarzaniem danych;</w:t>
      </w:r>
    </w:p>
    <w:p w14:paraId="03841BF4" w14:textId="77777777" w:rsidR="00EC4BEB" w:rsidRDefault="00252EBA" w:rsidP="00EC4BEB">
      <w:pPr>
        <w:spacing w:before="120" w:line="276" w:lineRule="auto"/>
        <w:ind w:left="720" w:hanging="12"/>
        <w:jc w:val="both"/>
        <w:rPr>
          <w:color w:val="000000"/>
          <w:sz w:val="22"/>
        </w:rPr>
      </w:pPr>
      <w:r w:rsidRPr="008D1A63">
        <w:rPr>
          <w:color w:val="000000"/>
          <w:sz w:val="22"/>
        </w:rPr>
        <w:t>3) zgodnie z treścią art. 6 ust. 1 lit. c RODO Pani/Pana dane osobowe przetwarzane będą w celu realizacji procesu wyboru wykonawcy na podstawie prowadzonego postępowania o udzielenie zamówienia publicznego, a następnie realizacji postanowień umownych związa</w:t>
      </w:r>
      <w:r w:rsidR="00EC4BEB">
        <w:rPr>
          <w:color w:val="000000"/>
          <w:sz w:val="22"/>
        </w:rPr>
        <w:t>nych z wykonywanym zamówieniem;</w:t>
      </w:r>
    </w:p>
    <w:p w14:paraId="333E50E7" w14:textId="77777777" w:rsidR="00EC4BEB" w:rsidRDefault="00252EBA" w:rsidP="00EC4BEB">
      <w:pPr>
        <w:spacing w:before="120" w:line="276" w:lineRule="auto"/>
        <w:ind w:left="720" w:hanging="12"/>
        <w:jc w:val="both"/>
        <w:rPr>
          <w:color w:val="000000"/>
          <w:sz w:val="22"/>
        </w:rPr>
      </w:pPr>
      <w:r w:rsidRPr="008D1A63">
        <w:rPr>
          <w:color w:val="000000"/>
          <w:sz w:val="22"/>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w:t>
      </w:r>
      <w:r w:rsidR="00EC4BEB">
        <w:rPr>
          <w:color w:val="000000"/>
          <w:sz w:val="22"/>
        </w:rPr>
        <w:t>ych,</w:t>
      </w:r>
    </w:p>
    <w:p w14:paraId="3F40A4A4" w14:textId="77777777" w:rsidR="00EC4BEB" w:rsidRDefault="00252EBA" w:rsidP="00EC4BEB">
      <w:pPr>
        <w:spacing w:before="120" w:line="276" w:lineRule="auto"/>
        <w:ind w:left="720" w:hanging="12"/>
        <w:jc w:val="both"/>
        <w:rPr>
          <w:color w:val="000000"/>
          <w:sz w:val="22"/>
        </w:rPr>
      </w:pPr>
      <w:r w:rsidRPr="008D1A63">
        <w:rPr>
          <w:color w:val="000000"/>
          <w:sz w:val="22"/>
        </w:rPr>
        <w:t>5) w odniesieniu do Pani/Pana danych osobowych decyzje nie będą podejmowane w sposób zautomatyzowa</w:t>
      </w:r>
      <w:r w:rsidR="00EC4BEB">
        <w:rPr>
          <w:color w:val="000000"/>
          <w:sz w:val="22"/>
        </w:rPr>
        <w:t>ny, stosowanie do art. 22 RODO;</w:t>
      </w:r>
    </w:p>
    <w:p w14:paraId="49C8EAFC" w14:textId="77777777" w:rsidR="00EC4BEB" w:rsidRDefault="00EC4BEB" w:rsidP="00EC4BEB">
      <w:pPr>
        <w:spacing w:before="120" w:line="276" w:lineRule="auto"/>
        <w:ind w:left="720" w:hanging="12"/>
        <w:jc w:val="both"/>
        <w:rPr>
          <w:color w:val="000000"/>
          <w:sz w:val="22"/>
        </w:rPr>
      </w:pPr>
      <w:r>
        <w:rPr>
          <w:color w:val="000000"/>
          <w:sz w:val="22"/>
        </w:rPr>
        <w:t>6</w:t>
      </w:r>
      <w:r w:rsidR="00252EBA" w:rsidRPr="008D1A63">
        <w:rPr>
          <w:color w:val="000000"/>
          <w:sz w:val="22"/>
        </w:rPr>
        <w:t>) Pani/Pana dane osobowe będą przechowywane, zgodnie z art. 97 ust. 1 ustawy – Prawo zamówień publicznych przez okres 4 lat od dnia zakończenia postępowania o udzielenie zamówienia, a jeżeli czas trwania umowy przekracza 4 lata, okres przechowywania ob</w:t>
      </w:r>
      <w:r>
        <w:rPr>
          <w:color w:val="000000"/>
          <w:sz w:val="22"/>
        </w:rPr>
        <w:t>ejmuje cały czas trwania umowy;</w:t>
      </w:r>
    </w:p>
    <w:p w14:paraId="7CDAA53B" w14:textId="77777777" w:rsidR="00EC4BEB" w:rsidRDefault="00EC4BEB" w:rsidP="00EC4BEB">
      <w:pPr>
        <w:spacing w:before="120" w:line="276" w:lineRule="auto"/>
        <w:ind w:left="720" w:hanging="12"/>
        <w:jc w:val="both"/>
        <w:rPr>
          <w:color w:val="000000"/>
          <w:sz w:val="22"/>
        </w:rPr>
      </w:pPr>
      <w:r>
        <w:rPr>
          <w:color w:val="000000"/>
          <w:sz w:val="22"/>
        </w:rPr>
        <w:t>7) posiada Pani/Pan prawo do:</w:t>
      </w:r>
    </w:p>
    <w:p w14:paraId="3135A212" w14:textId="77777777" w:rsidR="00EC4BEB" w:rsidRDefault="00252EBA" w:rsidP="00EC4BEB">
      <w:pPr>
        <w:spacing w:before="120" w:line="276" w:lineRule="auto"/>
        <w:ind w:left="720" w:hanging="12"/>
        <w:jc w:val="both"/>
        <w:rPr>
          <w:color w:val="000000"/>
          <w:sz w:val="22"/>
        </w:rPr>
      </w:pPr>
      <w:r w:rsidRPr="008D1A63">
        <w:rPr>
          <w:color w:val="000000"/>
          <w:sz w:val="22"/>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w:t>
      </w:r>
      <w:r w:rsidR="00EC4BEB">
        <w:rPr>
          <w:color w:val="000000"/>
          <w:sz w:val="22"/>
        </w:rPr>
        <w:t>ej lub państwa członkowskiego),</w:t>
      </w:r>
    </w:p>
    <w:p w14:paraId="237B3E28" w14:textId="77777777" w:rsidR="00EC4BEB" w:rsidRDefault="00252EBA" w:rsidP="00EC4BEB">
      <w:pPr>
        <w:spacing w:before="120" w:line="276" w:lineRule="auto"/>
        <w:ind w:left="720" w:hanging="12"/>
        <w:jc w:val="both"/>
        <w:rPr>
          <w:color w:val="000000"/>
          <w:sz w:val="22"/>
        </w:rPr>
      </w:pPr>
      <w:r w:rsidRPr="008D1A63">
        <w:rPr>
          <w:color w:val="000000"/>
          <w:sz w:val="22"/>
        </w:rPr>
        <w:t>b) wniesienia skargi do organu nadzorczego,</w:t>
      </w:r>
    </w:p>
    <w:p w14:paraId="7FD0E95E" w14:textId="77777777" w:rsidR="00EC4BEB" w:rsidRDefault="00252EBA" w:rsidP="00EC4BEB">
      <w:pPr>
        <w:spacing w:before="120" w:line="276" w:lineRule="auto"/>
        <w:ind w:left="720" w:hanging="12"/>
        <w:jc w:val="both"/>
        <w:rPr>
          <w:color w:val="000000"/>
          <w:sz w:val="22"/>
        </w:rPr>
      </w:pPr>
      <w:r w:rsidRPr="008D1A63">
        <w:rPr>
          <w:color w:val="000000"/>
          <w:sz w:val="22"/>
        </w:rPr>
        <w:t>8)   nie przysługuje P</w:t>
      </w:r>
      <w:r w:rsidR="00EC4BEB">
        <w:rPr>
          <w:color w:val="000000"/>
          <w:sz w:val="22"/>
        </w:rPr>
        <w:t>anu/Pani prawo do:</w:t>
      </w:r>
    </w:p>
    <w:p w14:paraId="2A061E4A" w14:textId="77777777" w:rsidR="00EC4BEB" w:rsidRDefault="00252EBA" w:rsidP="00EC4BEB">
      <w:pPr>
        <w:spacing w:before="120" w:line="276" w:lineRule="auto"/>
        <w:ind w:left="720" w:hanging="12"/>
        <w:jc w:val="both"/>
        <w:rPr>
          <w:color w:val="000000"/>
          <w:sz w:val="22"/>
        </w:rPr>
      </w:pPr>
      <w:r w:rsidRPr="008D1A63">
        <w:rPr>
          <w:color w:val="000000"/>
          <w:sz w:val="22"/>
        </w:rPr>
        <w:t>a)   usunięcia lub</w:t>
      </w:r>
      <w:r w:rsidR="00EC4BEB">
        <w:rPr>
          <w:color w:val="000000"/>
          <w:sz w:val="22"/>
        </w:rPr>
        <w:t xml:space="preserve"> przenoszenia danych osobowych,</w:t>
      </w:r>
    </w:p>
    <w:p w14:paraId="7CCACBCA" w14:textId="77777777" w:rsidR="00EC4BEB" w:rsidRDefault="00252EBA" w:rsidP="00EC4BEB">
      <w:pPr>
        <w:spacing w:before="120" w:line="276" w:lineRule="auto"/>
        <w:ind w:left="720" w:hanging="12"/>
        <w:jc w:val="both"/>
        <w:rPr>
          <w:color w:val="000000"/>
          <w:sz w:val="22"/>
        </w:rPr>
      </w:pPr>
      <w:r w:rsidRPr="008D1A63">
        <w:rPr>
          <w:color w:val="000000"/>
          <w:sz w:val="22"/>
        </w:rPr>
        <w:t xml:space="preserve">b)   wniesienia sprzeciwu wobec </w:t>
      </w:r>
      <w:r w:rsidR="00EC4BEB">
        <w:rPr>
          <w:color w:val="000000"/>
          <w:sz w:val="22"/>
        </w:rPr>
        <w:t>przetwarzania danych osobowych;</w:t>
      </w:r>
    </w:p>
    <w:p w14:paraId="46B09EE7" w14:textId="0AF90902" w:rsidR="00252EBA" w:rsidRPr="00EC4BEB" w:rsidRDefault="00252EBA" w:rsidP="00EC4BEB">
      <w:pPr>
        <w:spacing w:before="120" w:line="276" w:lineRule="auto"/>
        <w:ind w:left="720" w:hanging="12"/>
        <w:jc w:val="both"/>
        <w:rPr>
          <w:color w:val="000000"/>
          <w:sz w:val="22"/>
        </w:rPr>
      </w:pPr>
      <w:r w:rsidRPr="008D1A63">
        <w:rPr>
          <w:color w:val="000000"/>
          <w:sz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675015A" w14:textId="77777777" w:rsidR="00015332" w:rsidRPr="00A722E5" w:rsidRDefault="00015332" w:rsidP="00A722E5">
      <w:pPr>
        <w:spacing w:line="276" w:lineRule="auto"/>
        <w:ind w:left="705" w:hanging="705"/>
        <w:jc w:val="both"/>
        <w:rPr>
          <w:sz w:val="22"/>
          <w:szCs w:val="22"/>
        </w:rPr>
      </w:pPr>
    </w:p>
    <w:p w14:paraId="4675015E" w14:textId="656F6BDE" w:rsidR="00015332" w:rsidRPr="00A722E5" w:rsidRDefault="00015332" w:rsidP="00A722E5">
      <w:pPr>
        <w:spacing w:line="276" w:lineRule="auto"/>
        <w:rPr>
          <w:sz w:val="22"/>
          <w:szCs w:val="22"/>
        </w:rPr>
      </w:pPr>
    </w:p>
    <w:p w14:paraId="46750164" w14:textId="77777777" w:rsidR="00015332" w:rsidRPr="00A722E5" w:rsidRDefault="00015332" w:rsidP="00A722E5">
      <w:pPr>
        <w:spacing w:line="276" w:lineRule="auto"/>
        <w:rPr>
          <w:sz w:val="22"/>
          <w:szCs w:val="22"/>
        </w:rPr>
      </w:pPr>
    </w:p>
    <w:p w14:paraId="4675016B" w14:textId="0EDB58B0" w:rsidR="00015332" w:rsidRPr="00A722E5" w:rsidRDefault="00015332" w:rsidP="00A722E5">
      <w:pPr>
        <w:pStyle w:val="Nagwek6"/>
        <w:spacing w:before="0" w:line="276" w:lineRule="auto"/>
        <w:rPr>
          <w:rFonts w:ascii="Times New Roman" w:hAnsi="Times New Roman" w:cs="Times New Roman"/>
          <w:sz w:val="22"/>
          <w:szCs w:val="22"/>
        </w:rPr>
      </w:pPr>
      <w:r w:rsidRPr="00A722E5">
        <w:rPr>
          <w:rFonts w:ascii="Times New Roman" w:hAnsi="Times New Roman" w:cs="Times New Roman"/>
          <w:sz w:val="22"/>
          <w:szCs w:val="22"/>
        </w:rPr>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sectPr w:rsidR="00D96609" w:rsidRPr="00A722E5" w:rsidSect="00C044D7">
      <w:headerReference w:type="even" r:id="rId17"/>
      <w:headerReference w:type="default" r:id="rId18"/>
      <w:footerReference w:type="even" r:id="rId19"/>
      <w:footerReference w:type="default" r:id="rId20"/>
      <w:headerReference w:type="first" r:id="rId21"/>
      <w:footerReference w:type="first" r:id="rId22"/>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2B04" w14:textId="77777777" w:rsidR="00F358AA" w:rsidRDefault="00F358AA" w:rsidP="008B08F2">
      <w:r>
        <w:separator/>
      </w:r>
    </w:p>
  </w:endnote>
  <w:endnote w:type="continuationSeparator" w:id="0">
    <w:p w14:paraId="693E60E1" w14:textId="77777777" w:rsidR="00F358AA" w:rsidRDefault="00F358AA"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8E5F" w14:textId="77777777" w:rsidR="00BE6B80" w:rsidRDefault="00BE6B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sdtContent>
      <w:p w14:paraId="3B065DA7" w14:textId="5116BC03" w:rsidR="00AE4A18" w:rsidRPr="00DB50FF" w:rsidRDefault="00AE4A18" w:rsidP="00DB50FF">
        <w:pPr>
          <w:widowControl w:val="0"/>
          <w:autoSpaceDE w:val="0"/>
          <w:autoSpaceDN w:val="0"/>
          <w:adjustRightInd w:val="0"/>
          <w:jc w:val="center"/>
          <w:rPr>
            <w:sz w:val="22"/>
            <w:szCs w:val="22"/>
          </w:rPr>
        </w:pPr>
      </w:p>
      <w:p w14:paraId="3B82CBB6" w14:textId="48CF3C34" w:rsidR="00AE4A18" w:rsidRPr="00C044D7" w:rsidRDefault="00AE4A18" w:rsidP="00C044D7">
        <w:pPr>
          <w:pStyle w:val="Stopka"/>
          <w:pBdr>
            <w:top w:val="single" w:sz="4" w:space="1" w:color="A5A5A5" w:themeColor="background1" w:themeShade="A5"/>
          </w:pBdr>
          <w:rPr>
            <w:i/>
          </w:rPr>
        </w:pPr>
        <w:r w:rsidRPr="00C044D7">
          <w:rPr>
            <w:i/>
            <w:color w:val="000000" w:themeColor="text1"/>
          </w:rPr>
          <w:t xml:space="preserve">Nazwa zamówienia: </w:t>
        </w:r>
        <w:r>
          <w:rPr>
            <w:i/>
            <w:color w:val="000000" w:themeColor="text1"/>
          </w:rPr>
          <w:t xml:space="preserve">Przebudowa świetlic wiejskich w Zwierzynie i w Górkach Noteckich </w:t>
        </w:r>
        <w:r>
          <w:rPr>
            <w:rFonts w:eastAsia="Calibri"/>
            <w:bCs/>
            <w:i/>
          </w:rPr>
          <w:t xml:space="preserve"> – w systemie „zaprojektuj i wybuduj”</w:t>
        </w:r>
      </w:p>
      <w:p w14:paraId="55253EFE" w14:textId="2F4687C7" w:rsidR="00AE4A18" w:rsidRPr="00364ED2" w:rsidRDefault="00AE4A18"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Pr>
            <w:i/>
            <w:color w:val="000000" w:themeColor="text1"/>
          </w:rPr>
          <w:t>7.2020</w:t>
        </w:r>
      </w:p>
      <w:p w14:paraId="467501D7" w14:textId="10EE88B1" w:rsidR="00AE4A18" w:rsidRDefault="00AE4A18"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5F7CF8">
          <w:rPr>
            <w:noProof/>
          </w:rPr>
          <w:t>7</w:t>
        </w:r>
        <w:r>
          <w:rPr>
            <w:noProof/>
          </w:rPr>
          <w:fldChar w:fldCharType="end"/>
        </w:r>
      </w:p>
    </w:sdtContent>
  </w:sdt>
  <w:p w14:paraId="467501D8" w14:textId="77777777" w:rsidR="00AE4A18" w:rsidRDefault="00AE4A1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2AC79" w14:textId="77777777" w:rsidR="00BE6B80" w:rsidRDefault="00BE6B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06E74" w14:textId="77777777" w:rsidR="00F358AA" w:rsidRDefault="00F358AA" w:rsidP="008B08F2">
      <w:r>
        <w:separator/>
      </w:r>
    </w:p>
  </w:footnote>
  <w:footnote w:type="continuationSeparator" w:id="0">
    <w:p w14:paraId="6E2EF65D" w14:textId="77777777" w:rsidR="00F358AA" w:rsidRDefault="00F358AA"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C1A9" w14:textId="77777777" w:rsidR="00BE6B80" w:rsidRDefault="00BE6B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AE4A18" w:rsidRDefault="00AE4A18">
    <w:pPr>
      <w:pStyle w:val="Nagwek"/>
    </w:pPr>
  </w:p>
  <w:p w14:paraId="3029C701" w14:textId="5E91D273" w:rsidR="00AE4A18" w:rsidRDefault="00AE4A18" w:rsidP="0054004D">
    <w:pPr>
      <w:pStyle w:val="Nagwek"/>
      <w:tabs>
        <w:tab w:val="clear" w:pos="4536"/>
        <w:tab w:val="clear" w:pos="9072"/>
        <w:tab w:val="left" w:pos="39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B2FD1" w14:textId="77777777" w:rsidR="00BE6B80" w:rsidRDefault="00BE6B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7F501C6"/>
    <w:multiLevelType w:val="hybridMultilevel"/>
    <w:tmpl w:val="093A668A"/>
    <w:lvl w:ilvl="0" w:tplc="48601D82">
      <w:start w:val="1"/>
      <w:numFmt w:val="decimal"/>
      <w:lvlText w:val="%1."/>
      <w:lvlJc w:val="left"/>
      <w:pPr>
        <w:ind w:left="360" w:hanging="360"/>
      </w:pPr>
      <w:rPr>
        <w:b w:val="0"/>
        <w:strike w:val="0"/>
        <w:color w:val="auto"/>
      </w:rPr>
    </w:lvl>
    <w:lvl w:ilvl="1" w:tplc="D2B03C32">
      <w:start w:val="1"/>
      <w:numFmt w:val="decimal"/>
      <w:lvlText w:val="%2)"/>
      <w:lvlJc w:val="left"/>
      <w:pPr>
        <w:ind w:left="1068" w:hanging="360"/>
      </w:pPr>
      <w:rPr>
        <w:rFonts w:hint="default"/>
        <w:b w:val="0"/>
        <w:bCs w:val="0"/>
      </w:rPr>
    </w:lvl>
    <w:lvl w:ilvl="2" w:tplc="5C98B0FC">
      <w:start w:val="1"/>
      <w:numFmt w:val="lowerLetter"/>
      <w:lvlText w:val="%3)"/>
      <w:lvlJc w:val="left"/>
      <w:pPr>
        <w:ind w:left="644" w:hanging="360"/>
      </w:pPr>
      <w:rPr>
        <w:rFonts w:hint="default"/>
        <w:b w:val="0"/>
        <w:bCs w:val="0"/>
        <w:i w:val="0"/>
        <w:iCs/>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4D682C"/>
    <w:multiLevelType w:val="hybridMultilevel"/>
    <w:tmpl w:val="7EAE3BBA"/>
    <w:lvl w:ilvl="0" w:tplc="5C98B0FC">
      <w:start w:val="1"/>
      <w:numFmt w:val="lowerLetter"/>
      <w:lvlText w:val="%1)"/>
      <w:lvlJc w:val="left"/>
      <w:pPr>
        <w:ind w:left="1067" w:hanging="360"/>
      </w:pPr>
      <w:rPr>
        <w:rFonts w:hint="default"/>
        <w:b w:val="0"/>
        <w:bCs w:val="0"/>
        <w:i w:val="0"/>
        <w:iCs/>
        <w:color w:val="auto"/>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0">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1">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3">
    <w:nsid w:val="213C2FED"/>
    <w:multiLevelType w:val="hybridMultilevel"/>
    <w:tmpl w:val="E4FC2162"/>
    <w:lvl w:ilvl="0" w:tplc="7C44DFA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3">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4">
    <w:nsid w:val="51881B31"/>
    <w:multiLevelType w:val="hybridMultilevel"/>
    <w:tmpl w:val="00D2F3F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3997" w:hanging="360"/>
      </w:pPr>
      <w:rPr>
        <w:rFonts w:ascii="Courier New" w:hAnsi="Courier New" w:cs="Courier New" w:hint="default"/>
      </w:rPr>
    </w:lvl>
    <w:lvl w:ilvl="2" w:tplc="04150005" w:tentative="1">
      <w:start w:val="1"/>
      <w:numFmt w:val="bullet"/>
      <w:lvlText w:val=""/>
      <w:lvlJc w:val="left"/>
      <w:pPr>
        <w:ind w:left="4717" w:hanging="360"/>
      </w:pPr>
      <w:rPr>
        <w:rFonts w:ascii="Wingdings" w:hAnsi="Wingdings" w:hint="default"/>
      </w:rPr>
    </w:lvl>
    <w:lvl w:ilvl="3" w:tplc="04150001" w:tentative="1">
      <w:start w:val="1"/>
      <w:numFmt w:val="bullet"/>
      <w:lvlText w:val=""/>
      <w:lvlJc w:val="left"/>
      <w:pPr>
        <w:ind w:left="5437" w:hanging="360"/>
      </w:pPr>
      <w:rPr>
        <w:rFonts w:ascii="Symbol" w:hAnsi="Symbol" w:hint="default"/>
      </w:rPr>
    </w:lvl>
    <w:lvl w:ilvl="4" w:tplc="04150003" w:tentative="1">
      <w:start w:val="1"/>
      <w:numFmt w:val="bullet"/>
      <w:lvlText w:val="o"/>
      <w:lvlJc w:val="left"/>
      <w:pPr>
        <w:ind w:left="6157" w:hanging="360"/>
      </w:pPr>
      <w:rPr>
        <w:rFonts w:ascii="Courier New" w:hAnsi="Courier New" w:cs="Courier New" w:hint="default"/>
      </w:rPr>
    </w:lvl>
    <w:lvl w:ilvl="5" w:tplc="04150005" w:tentative="1">
      <w:start w:val="1"/>
      <w:numFmt w:val="bullet"/>
      <w:lvlText w:val=""/>
      <w:lvlJc w:val="left"/>
      <w:pPr>
        <w:ind w:left="6877" w:hanging="360"/>
      </w:pPr>
      <w:rPr>
        <w:rFonts w:ascii="Wingdings" w:hAnsi="Wingdings" w:hint="default"/>
      </w:rPr>
    </w:lvl>
    <w:lvl w:ilvl="6" w:tplc="04150001" w:tentative="1">
      <w:start w:val="1"/>
      <w:numFmt w:val="bullet"/>
      <w:lvlText w:val=""/>
      <w:lvlJc w:val="left"/>
      <w:pPr>
        <w:ind w:left="7597" w:hanging="360"/>
      </w:pPr>
      <w:rPr>
        <w:rFonts w:ascii="Symbol" w:hAnsi="Symbol" w:hint="default"/>
      </w:rPr>
    </w:lvl>
    <w:lvl w:ilvl="7" w:tplc="04150003" w:tentative="1">
      <w:start w:val="1"/>
      <w:numFmt w:val="bullet"/>
      <w:lvlText w:val="o"/>
      <w:lvlJc w:val="left"/>
      <w:pPr>
        <w:ind w:left="8317" w:hanging="360"/>
      </w:pPr>
      <w:rPr>
        <w:rFonts w:ascii="Courier New" w:hAnsi="Courier New" w:cs="Courier New" w:hint="default"/>
      </w:rPr>
    </w:lvl>
    <w:lvl w:ilvl="8" w:tplc="04150005" w:tentative="1">
      <w:start w:val="1"/>
      <w:numFmt w:val="bullet"/>
      <w:lvlText w:val=""/>
      <w:lvlJc w:val="left"/>
      <w:pPr>
        <w:ind w:left="9037" w:hanging="360"/>
      </w:pPr>
      <w:rPr>
        <w:rFonts w:ascii="Wingdings" w:hAnsi="Wingdings" w:hint="default"/>
      </w:rPr>
    </w:lvl>
  </w:abstractNum>
  <w:abstractNum w:abstractNumId="25">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6">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30">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31">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4">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5">
    <w:nsid w:val="78372C0B"/>
    <w:multiLevelType w:val="hybridMultilevel"/>
    <w:tmpl w:val="BEF69C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0"/>
  </w:num>
  <w:num w:numId="3">
    <w:abstractNumId w:val="37"/>
  </w:num>
  <w:num w:numId="4">
    <w:abstractNumId w:val="2"/>
  </w:num>
  <w:num w:numId="5">
    <w:abstractNumId w:val="7"/>
  </w:num>
  <w:num w:numId="6">
    <w:abstractNumId w:val="22"/>
  </w:num>
  <w:num w:numId="7">
    <w:abstractNumId w:val="4"/>
  </w:num>
  <w:num w:numId="8">
    <w:abstractNumId w:val="32"/>
  </w:num>
  <w:num w:numId="9">
    <w:abstractNumId w:val="23"/>
  </w:num>
  <w:num w:numId="10">
    <w:abstractNumId w:val="28"/>
  </w:num>
  <w:num w:numId="11">
    <w:abstractNumId w:val="25"/>
  </w:num>
  <w:num w:numId="12">
    <w:abstractNumId w:val="6"/>
  </w:num>
  <w:num w:numId="13">
    <w:abstractNumId w:val="27"/>
  </w:num>
  <w:num w:numId="14">
    <w:abstractNumId w:val="3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34"/>
  </w:num>
  <w:num w:numId="19">
    <w:abstractNumId w:val="21"/>
  </w:num>
  <w:num w:numId="20">
    <w:abstractNumId w:val="15"/>
  </w:num>
  <w:num w:numId="21">
    <w:abstractNumId w:val="1"/>
  </w:num>
  <w:num w:numId="22">
    <w:abstractNumId w:val="19"/>
  </w:num>
  <w:num w:numId="23">
    <w:abstractNumId w:val="20"/>
  </w:num>
  <w:num w:numId="24">
    <w:abstractNumId w:val="26"/>
  </w:num>
  <w:num w:numId="25">
    <w:abstractNumId w:val="17"/>
  </w:num>
  <w:num w:numId="26">
    <w:abstractNumId w:val="16"/>
  </w:num>
  <w:num w:numId="27">
    <w:abstractNumId w:val="3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1"/>
  </w:num>
  <w:num w:numId="32">
    <w:abstractNumId w:val="18"/>
  </w:num>
  <w:num w:numId="33">
    <w:abstractNumId w:val="29"/>
  </w:num>
  <w:num w:numId="34">
    <w:abstractNumId w:val="3"/>
  </w:num>
  <w:num w:numId="35">
    <w:abstractNumId w:val="8"/>
  </w:num>
  <w:num w:numId="36">
    <w:abstractNumId w:val="9"/>
  </w:num>
  <w:num w:numId="37">
    <w:abstractNumId w:val="13"/>
  </w:num>
  <w:num w:numId="38">
    <w:abstractNumId w:val="2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3A1E"/>
    <w:rsid w:val="00015332"/>
    <w:rsid w:val="000172D0"/>
    <w:rsid w:val="000251B0"/>
    <w:rsid w:val="00025654"/>
    <w:rsid w:val="000325CD"/>
    <w:rsid w:val="00032614"/>
    <w:rsid w:val="00032D64"/>
    <w:rsid w:val="00041244"/>
    <w:rsid w:val="00042F5A"/>
    <w:rsid w:val="00045779"/>
    <w:rsid w:val="00047854"/>
    <w:rsid w:val="00057BF5"/>
    <w:rsid w:val="00064616"/>
    <w:rsid w:val="000714DD"/>
    <w:rsid w:val="00071583"/>
    <w:rsid w:val="00071E05"/>
    <w:rsid w:val="0007472D"/>
    <w:rsid w:val="000752E3"/>
    <w:rsid w:val="00077107"/>
    <w:rsid w:val="00081733"/>
    <w:rsid w:val="000A7C2F"/>
    <w:rsid w:val="000B0A23"/>
    <w:rsid w:val="000C2DB2"/>
    <w:rsid w:val="000C5CD5"/>
    <w:rsid w:val="000D5C39"/>
    <w:rsid w:val="000E1377"/>
    <w:rsid w:val="000F66A0"/>
    <w:rsid w:val="000F7B9C"/>
    <w:rsid w:val="0010102A"/>
    <w:rsid w:val="0010276F"/>
    <w:rsid w:val="0010783A"/>
    <w:rsid w:val="0011350B"/>
    <w:rsid w:val="0011680A"/>
    <w:rsid w:val="001241B2"/>
    <w:rsid w:val="00124B04"/>
    <w:rsid w:val="00124D86"/>
    <w:rsid w:val="001260A0"/>
    <w:rsid w:val="00137A3C"/>
    <w:rsid w:val="00156DF4"/>
    <w:rsid w:val="00157FC5"/>
    <w:rsid w:val="00171614"/>
    <w:rsid w:val="00173503"/>
    <w:rsid w:val="0018761F"/>
    <w:rsid w:val="001958FE"/>
    <w:rsid w:val="0019683F"/>
    <w:rsid w:val="001A3A5B"/>
    <w:rsid w:val="0021478A"/>
    <w:rsid w:val="00215D37"/>
    <w:rsid w:val="0022462A"/>
    <w:rsid w:val="00230897"/>
    <w:rsid w:val="00235EF9"/>
    <w:rsid w:val="0025297B"/>
    <w:rsid w:val="00252EBA"/>
    <w:rsid w:val="00253CCB"/>
    <w:rsid w:val="00280A83"/>
    <w:rsid w:val="00281F1E"/>
    <w:rsid w:val="002854EA"/>
    <w:rsid w:val="00287AA3"/>
    <w:rsid w:val="0029505D"/>
    <w:rsid w:val="002A1874"/>
    <w:rsid w:val="002A1F89"/>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7FAA"/>
    <w:rsid w:val="003A1586"/>
    <w:rsid w:val="003A1872"/>
    <w:rsid w:val="003B1257"/>
    <w:rsid w:val="003E1DC2"/>
    <w:rsid w:val="003E7C0F"/>
    <w:rsid w:val="003F2FBA"/>
    <w:rsid w:val="003F32D0"/>
    <w:rsid w:val="00431B5E"/>
    <w:rsid w:val="004532EF"/>
    <w:rsid w:val="00454B73"/>
    <w:rsid w:val="004711B3"/>
    <w:rsid w:val="004744D4"/>
    <w:rsid w:val="004847E7"/>
    <w:rsid w:val="0049502A"/>
    <w:rsid w:val="004A1DF7"/>
    <w:rsid w:val="004A3CAD"/>
    <w:rsid w:val="004A6977"/>
    <w:rsid w:val="004C0AE2"/>
    <w:rsid w:val="004C50D5"/>
    <w:rsid w:val="004D4DFC"/>
    <w:rsid w:val="004D648F"/>
    <w:rsid w:val="004D6DE5"/>
    <w:rsid w:val="004E4A0A"/>
    <w:rsid w:val="004F497B"/>
    <w:rsid w:val="00523750"/>
    <w:rsid w:val="00535CBC"/>
    <w:rsid w:val="0054004D"/>
    <w:rsid w:val="00550443"/>
    <w:rsid w:val="005579FD"/>
    <w:rsid w:val="00561A3F"/>
    <w:rsid w:val="005654AC"/>
    <w:rsid w:val="005678DC"/>
    <w:rsid w:val="00572147"/>
    <w:rsid w:val="00582C16"/>
    <w:rsid w:val="00585AFE"/>
    <w:rsid w:val="00592426"/>
    <w:rsid w:val="005C3271"/>
    <w:rsid w:val="005C55C3"/>
    <w:rsid w:val="005D1A94"/>
    <w:rsid w:val="005E2F60"/>
    <w:rsid w:val="005E4C36"/>
    <w:rsid w:val="005E7234"/>
    <w:rsid w:val="005E7713"/>
    <w:rsid w:val="005F1B3E"/>
    <w:rsid w:val="005F3796"/>
    <w:rsid w:val="005F7CF8"/>
    <w:rsid w:val="00602C8D"/>
    <w:rsid w:val="00627565"/>
    <w:rsid w:val="006348F1"/>
    <w:rsid w:val="00644971"/>
    <w:rsid w:val="006473A0"/>
    <w:rsid w:val="00656BE8"/>
    <w:rsid w:val="006579B8"/>
    <w:rsid w:val="00667E74"/>
    <w:rsid w:val="00672040"/>
    <w:rsid w:val="006A45C6"/>
    <w:rsid w:val="006A4A37"/>
    <w:rsid w:val="006A57D7"/>
    <w:rsid w:val="006C14BD"/>
    <w:rsid w:val="006C2587"/>
    <w:rsid w:val="006C2D94"/>
    <w:rsid w:val="006D7EB3"/>
    <w:rsid w:val="006E13B5"/>
    <w:rsid w:val="006E14A1"/>
    <w:rsid w:val="006F25B3"/>
    <w:rsid w:val="006F5DAA"/>
    <w:rsid w:val="00702435"/>
    <w:rsid w:val="00721F32"/>
    <w:rsid w:val="00724927"/>
    <w:rsid w:val="00731A25"/>
    <w:rsid w:val="00732C12"/>
    <w:rsid w:val="00745250"/>
    <w:rsid w:val="00750839"/>
    <w:rsid w:val="00752377"/>
    <w:rsid w:val="00752F76"/>
    <w:rsid w:val="007634F0"/>
    <w:rsid w:val="0076691C"/>
    <w:rsid w:val="00773389"/>
    <w:rsid w:val="00773402"/>
    <w:rsid w:val="00774916"/>
    <w:rsid w:val="007766E6"/>
    <w:rsid w:val="00781E31"/>
    <w:rsid w:val="007827F7"/>
    <w:rsid w:val="00784355"/>
    <w:rsid w:val="007843EE"/>
    <w:rsid w:val="007864BC"/>
    <w:rsid w:val="007942B5"/>
    <w:rsid w:val="007A07B8"/>
    <w:rsid w:val="007A483B"/>
    <w:rsid w:val="007B1E75"/>
    <w:rsid w:val="007C22BE"/>
    <w:rsid w:val="007C70B6"/>
    <w:rsid w:val="007D44FA"/>
    <w:rsid w:val="007D7DA4"/>
    <w:rsid w:val="007E019F"/>
    <w:rsid w:val="007E3A97"/>
    <w:rsid w:val="007E7BE6"/>
    <w:rsid w:val="0081001D"/>
    <w:rsid w:val="00825E5C"/>
    <w:rsid w:val="008323F4"/>
    <w:rsid w:val="00840D30"/>
    <w:rsid w:val="008A30CD"/>
    <w:rsid w:val="008B08F2"/>
    <w:rsid w:val="008C4BB6"/>
    <w:rsid w:val="008D7AD3"/>
    <w:rsid w:val="008F7DF0"/>
    <w:rsid w:val="00900BB0"/>
    <w:rsid w:val="009026F7"/>
    <w:rsid w:val="00904D82"/>
    <w:rsid w:val="00911BFB"/>
    <w:rsid w:val="009208E4"/>
    <w:rsid w:val="00920E21"/>
    <w:rsid w:val="009214E2"/>
    <w:rsid w:val="00924D6F"/>
    <w:rsid w:val="00952333"/>
    <w:rsid w:val="009536D7"/>
    <w:rsid w:val="00962D65"/>
    <w:rsid w:val="00964636"/>
    <w:rsid w:val="009853FE"/>
    <w:rsid w:val="0099074B"/>
    <w:rsid w:val="009A6132"/>
    <w:rsid w:val="009D1A14"/>
    <w:rsid w:val="009D7DFF"/>
    <w:rsid w:val="009E0E62"/>
    <w:rsid w:val="009E4D99"/>
    <w:rsid w:val="009F7585"/>
    <w:rsid w:val="00A02201"/>
    <w:rsid w:val="00A14D87"/>
    <w:rsid w:val="00A2261D"/>
    <w:rsid w:val="00A50557"/>
    <w:rsid w:val="00A507BD"/>
    <w:rsid w:val="00A50F7D"/>
    <w:rsid w:val="00A559A7"/>
    <w:rsid w:val="00A55EA5"/>
    <w:rsid w:val="00A64A63"/>
    <w:rsid w:val="00A6753C"/>
    <w:rsid w:val="00A709BD"/>
    <w:rsid w:val="00A722E5"/>
    <w:rsid w:val="00A9113D"/>
    <w:rsid w:val="00A9221A"/>
    <w:rsid w:val="00AA2B1E"/>
    <w:rsid w:val="00AA4122"/>
    <w:rsid w:val="00AB0549"/>
    <w:rsid w:val="00AB10A9"/>
    <w:rsid w:val="00AB378D"/>
    <w:rsid w:val="00AC361D"/>
    <w:rsid w:val="00AC54AA"/>
    <w:rsid w:val="00AC56B8"/>
    <w:rsid w:val="00AD370A"/>
    <w:rsid w:val="00AE1FD3"/>
    <w:rsid w:val="00AE4A18"/>
    <w:rsid w:val="00AE62E7"/>
    <w:rsid w:val="00AE7C27"/>
    <w:rsid w:val="00AF4CCD"/>
    <w:rsid w:val="00B00A5B"/>
    <w:rsid w:val="00B119AE"/>
    <w:rsid w:val="00B172A9"/>
    <w:rsid w:val="00B17882"/>
    <w:rsid w:val="00B43165"/>
    <w:rsid w:val="00B45407"/>
    <w:rsid w:val="00B45FAB"/>
    <w:rsid w:val="00B52B82"/>
    <w:rsid w:val="00B74597"/>
    <w:rsid w:val="00B75082"/>
    <w:rsid w:val="00B84908"/>
    <w:rsid w:val="00B90F72"/>
    <w:rsid w:val="00B94344"/>
    <w:rsid w:val="00BA46B1"/>
    <w:rsid w:val="00BB07DA"/>
    <w:rsid w:val="00BC2020"/>
    <w:rsid w:val="00BD617B"/>
    <w:rsid w:val="00BE6B80"/>
    <w:rsid w:val="00BE7DF8"/>
    <w:rsid w:val="00BF1BFD"/>
    <w:rsid w:val="00BF26F5"/>
    <w:rsid w:val="00C044D7"/>
    <w:rsid w:val="00C072AA"/>
    <w:rsid w:val="00C1013D"/>
    <w:rsid w:val="00C65FB9"/>
    <w:rsid w:val="00C7611D"/>
    <w:rsid w:val="00C81CE0"/>
    <w:rsid w:val="00C8467F"/>
    <w:rsid w:val="00C91215"/>
    <w:rsid w:val="00CA460F"/>
    <w:rsid w:val="00CA776B"/>
    <w:rsid w:val="00CC55CE"/>
    <w:rsid w:val="00CC6E33"/>
    <w:rsid w:val="00CF0F2E"/>
    <w:rsid w:val="00CF5975"/>
    <w:rsid w:val="00CF617F"/>
    <w:rsid w:val="00D0618B"/>
    <w:rsid w:val="00D43BE9"/>
    <w:rsid w:val="00D521BD"/>
    <w:rsid w:val="00D57335"/>
    <w:rsid w:val="00D64506"/>
    <w:rsid w:val="00D679AF"/>
    <w:rsid w:val="00D83FFD"/>
    <w:rsid w:val="00D86655"/>
    <w:rsid w:val="00D96482"/>
    <w:rsid w:val="00D96609"/>
    <w:rsid w:val="00DA7C6B"/>
    <w:rsid w:val="00DB2D2D"/>
    <w:rsid w:val="00DB3740"/>
    <w:rsid w:val="00DB50FF"/>
    <w:rsid w:val="00DB62D2"/>
    <w:rsid w:val="00DC0727"/>
    <w:rsid w:val="00DD04DC"/>
    <w:rsid w:val="00DD180A"/>
    <w:rsid w:val="00DD6225"/>
    <w:rsid w:val="00DE3EC9"/>
    <w:rsid w:val="00DE7FE2"/>
    <w:rsid w:val="00DF3BB7"/>
    <w:rsid w:val="00E125EB"/>
    <w:rsid w:val="00E147AC"/>
    <w:rsid w:val="00E14A77"/>
    <w:rsid w:val="00E154D4"/>
    <w:rsid w:val="00E20777"/>
    <w:rsid w:val="00E35744"/>
    <w:rsid w:val="00E4086F"/>
    <w:rsid w:val="00E40D2A"/>
    <w:rsid w:val="00E42403"/>
    <w:rsid w:val="00E523CB"/>
    <w:rsid w:val="00E74725"/>
    <w:rsid w:val="00E74A32"/>
    <w:rsid w:val="00E75579"/>
    <w:rsid w:val="00E8408F"/>
    <w:rsid w:val="00E87798"/>
    <w:rsid w:val="00E969F9"/>
    <w:rsid w:val="00EA2096"/>
    <w:rsid w:val="00EB08B8"/>
    <w:rsid w:val="00EB3FD5"/>
    <w:rsid w:val="00EC3ECF"/>
    <w:rsid w:val="00EC4512"/>
    <w:rsid w:val="00EC4BEB"/>
    <w:rsid w:val="00EE2EA8"/>
    <w:rsid w:val="00EF0B91"/>
    <w:rsid w:val="00EF43DA"/>
    <w:rsid w:val="00EF5450"/>
    <w:rsid w:val="00F00475"/>
    <w:rsid w:val="00F01124"/>
    <w:rsid w:val="00F05285"/>
    <w:rsid w:val="00F06148"/>
    <w:rsid w:val="00F07A70"/>
    <w:rsid w:val="00F10B49"/>
    <w:rsid w:val="00F10BD0"/>
    <w:rsid w:val="00F3577B"/>
    <w:rsid w:val="00F358AA"/>
    <w:rsid w:val="00F51496"/>
    <w:rsid w:val="00F52CF2"/>
    <w:rsid w:val="00F535FD"/>
    <w:rsid w:val="00F572A6"/>
    <w:rsid w:val="00F639D3"/>
    <w:rsid w:val="00F80241"/>
    <w:rsid w:val="00F8128F"/>
    <w:rsid w:val="00F9090F"/>
    <w:rsid w:val="00F9148F"/>
    <w:rsid w:val="00F9467D"/>
    <w:rsid w:val="00F9775C"/>
    <w:rsid w:val="00FA4590"/>
    <w:rsid w:val="00FA4DB3"/>
    <w:rsid w:val="00FA5B45"/>
    <w:rsid w:val="00FA7BAA"/>
    <w:rsid w:val="00FA7DFE"/>
    <w:rsid w:val="00FB4405"/>
    <w:rsid w:val="00FC59FA"/>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147011105">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 w:id="1779179647">
      <w:bodyDiv w:val="1"/>
      <w:marLeft w:val="0"/>
      <w:marRight w:val="0"/>
      <w:marTop w:val="0"/>
      <w:marBottom w:val="0"/>
      <w:divBdr>
        <w:top w:val="none" w:sz="0" w:space="0" w:color="auto"/>
        <w:left w:val="none" w:sz="0" w:space="0" w:color="auto"/>
        <w:bottom w:val="none" w:sz="0" w:space="0" w:color="auto"/>
        <w:right w:val="none" w:sz="0" w:space="0" w:color="auto"/>
      </w:divBdr>
    </w:div>
    <w:div w:id="1842500046">
      <w:bodyDiv w:val="1"/>
      <w:marLeft w:val="0"/>
      <w:marRight w:val="0"/>
      <w:marTop w:val="0"/>
      <w:marBottom w:val="0"/>
      <w:divBdr>
        <w:top w:val="none" w:sz="0" w:space="0" w:color="auto"/>
        <w:left w:val="none" w:sz="0" w:space="0" w:color="auto"/>
        <w:bottom w:val="none" w:sz="0" w:space="0" w:color="auto"/>
        <w:right w:val="none" w:sz="0" w:space="0" w:color="auto"/>
      </w:divBdr>
    </w:div>
    <w:div w:id="1871989470">
      <w:bodyDiv w:val="1"/>
      <w:marLeft w:val="0"/>
      <w:marRight w:val="0"/>
      <w:marTop w:val="0"/>
      <w:marBottom w:val="0"/>
      <w:divBdr>
        <w:top w:val="none" w:sz="0" w:space="0" w:color="auto"/>
        <w:left w:val="none" w:sz="0" w:space="0" w:color="auto"/>
        <w:bottom w:val="none" w:sz="0" w:space="0" w:color="auto"/>
        <w:right w:val="none" w:sz="0" w:space="0" w:color="auto"/>
      </w:divBdr>
    </w:div>
    <w:div w:id="18813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enzzgu2t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ip.legalis.pl/document-view.seam?documentId=mfrxilrtg4ytenzzgu2t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o@zwierzy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gminy@zwierzyn.pl"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zwierzyn.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7941E-7290-443F-BF1F-E8144CD4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26</Pages>
  <Words>8751</Words>
  <Characters>52511</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61140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33</cp:revision>
  <cp:lastPrinted>2018-01-29T14:25:00Z</cp:lastPrinted>
  <dcterms:created xsi:type="dcterms:W3CDTF">2019-04-08T11:24:00Z</dcterms:created>
  <dcterms:modified xsi:type="dcterms:W3CDTF">2020-11-30T11:17:00Z</dcterms:modified>
</cp:coreProperties>
</file>