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BC87" w14:textId="1B516E27" w:rsidR="00C044D7" w:rsidRDefault="00DD04DC" w:rsidP="00C044D7">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731A9218">
            <wp:simplePos x="0" y="0"/>
            <wp:positionH relativeFrom="column">
              <wp:posOffset>257175</wp:posOffset>
            </wp:positionH>
            <wp:positionV relativeFrom="paragraph">
              <wp:posOffset>37968</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D7">
        <w:rPr>
          <w:noProof/>
          <w:sz w:val="22"/>
          <w:szCs w:val="22"/>
        </w:rPr>
        <w:drawing>
          <wp:inline distT="0" distB="0" distL="0" distR="0" wp14:anchorId="5961E6D5" wp14:editId="61BFB9F0">
            <wp:extent cx="1626919" cy="110429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824" cy="1106271"/>
                    </a:xfrm>
                    <a:prstGeom prst="rect">
                      <a:avLst/>
                    </a:prstGeom>
                    <a:noFill/>
                    <a:ln>
                      <a:noFill/>
                    </a:ln>
                  </pic:spPr>
                </pic:pic>
              </a:graphicData>
            </a:graphic>
          </wp:inline>
        </w:drawing>
      </w:r>
      <w:r w:rsidR="00C044D7">
        <w:rPr>
          <w:b/>
          <w:color w:val="FF0000"/>
          <w:sz w:val="22"/>
          <w:szCs w:val="22"/>
          <w:lang w:eastAsia="x-none"/>
        </w:rPr>
        <w:tab/>
        <w:t xml:space="preserve">     </w:t>
      </w:r>
      <w:r w:rsidR="00C044D7">
        <w:rPr>
          <w:noProof/>
        </w:rPr>
        <w:drawing>
          <wp:inline distT="0" distB="0" distL="0" distR="0" wp14:anchorId="1D1CB0E0" wp14:editId="72443128">
            <wp:extent cx="1852196" cy="11875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0492" cy="1192851"/>
                    </a:xfrm>
                    <a:prstGeom prst="rect">
                      <a:avLst/>
                    </a:prstGeom>
                  </pic:spPr>
                </pic:pic>
              </a:graphicData>
            </a:graphic>
          </wp:inline>
        </w:drawing>
      </w:r>
    </w:p>
    <w:p w14:paraId="62FCA9B1" w14:textId="77777777" w:rsidR="00C044D7" w:rsidRDefault="00C044D7" w:rsidP="00A722E5">
      <w:pPr>
        <w:spacing w:line="276" w:lineRule="auto"/>
        <w:jc w:val="both"/>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1490F946" w:rsidR="00DD04DC" w:rsidRPr="00A722E5" w:rsidRDefault="003400C8" w:rsidP="00A722E5">
      <w:pPr>
        <w:widowControl w:val="0"/>
        <w:autoSpaceDE w:val="0"/>
        <w:autoSpaceDN w:val="0"/>
        <w:adjustRightInd w:val="0"/>
        <w:spacing w:line="276" w:lineRule="auto"/>
        <w:rPr>
          <w:sz w:val="22"/>
          <w:szCs w:val="22"/>
        </w:rPr>
      </w:pPr>
      <w:r>
        <w:rPr>
          <w:sz w:val="22"/>
          <w:szCs w:val="22"/>
        </w:rPr>
        <w:t>numer sprawy: ZP.271.06</w:t>
      </w:r>
      <w:r w:rsidR="00C044D7">
        <w:rPr>
          <w:sz w:val="22"/>
          <w:szCs w:val="22"/>
        </w:rPr>
        <w:t>.2018</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Pr="00A722E5" w:rsidRDefault="00DD04DC" w:rsidP="00A722E5">
      <w:pPr>
        <w:widowControl w:val="0"/>
        <w:autoSpaceDE w:val="0"/>
        <w:autoSpaceDN w:val="0"/>
        <w:adjustRightInd w:val="0"/>
        <w:spacing w:line="276" w:lineRule="auto"/>
        <w:rPr>
          <w:sz w:val="22"/>
          <w:szCs w:val="22"/>
        </w:rPr>
      </w:pPr>
    </w:p>
    <w:p w14:paraId="64394A74" w14:textId="4EFE6C50" w:rsidR="00DD04DC" w:rsidRPr="00A722E5" w:rsidRDefault="00DD04DC" w:rsidP="00A722E5">
      <w:pPr>
        <w:widowControl w:val="0"/>
        <w:autoSpaceDE w:val="0"/>
        <w:autoSpaceDN w:val="0"/>
        <w:adjustRightInd w:val="0"/>
        <w:spacing w:line="276" w:lineRule="auto"/>
        <w:jc w:val="center"/>
        <w:rPr>
          <w:sz w:val="22"/>
          <w:szCs w:val="22"/>
        </w:rPr>
      </w:pPr>
      <w:r w:rsidRPr="00A722E5">
        <w:rPr>
          <w:rFonts w:eastAsia="Calibri"/>
          <w:b/>
          <w:bCs/>
          <w:sz w:val="22"/>
          <w:szCs w:val="22"/>
        </w:rPr>
        <w:t>„</w:t>
      </w:r>
      <w:r w:rsidR="00C044D7">
        <w:rPr>
          <w:b/>
          <w:sz w:val="22"/>
          <w:szCs w:val="22"/>
        </w:rPr>
        <w:t>Przebudowa stacji uzdatniania wody w Górkach Noteckich oraz budowa oczyszczalni przydomowych</w:t>
      </w:r>
      <w:r w:rsidRPr="00A722E5">
        <w:rPr>
          <w:rFonts w:eastAsia="Calibri"/>
          <w:b/>
          <w:caps/>
          <w:sz w:val="22"/>
          <w:szCs w:val="22"/>
        </w:rPr>
        <w:t>”</w:t>
      </w:r>
    </w:p>
    <w:p w14:paraId="04EA3BCE" w14:textId="77777777" w:rsidR="00DD04DC" w:rsidRPr="00A722E5" w:rsidRDefault="00DD04DC" w:rsidP="00A722E5">
      <w:pPr>
        <w:widowControl w:val="0"/>
        <w:autoSpaceDE w:val="0"/>
        <w:autoSpaceDN w:val="0"/>
        <w:adjustRightInd w:val="0"/>
        <w:spacing w:line="276" w:lineRule="auto"/>
        <w:jc w:val="center"/>
        <w:rPr>
          <w:b/>
          <w:sz w:val="22"/>
          <w:szCs w:val="22"/>
        </w:rPr>
      </w:pP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475D2EA"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C044D7">
        <w:rPr>
          <w:sz w:val="22"/>
          <w:szCs w:val="22"/>
        </w:rPr>
        <w:t>Dz. U. z 2017</w:t>
      </w:r>
      <w:r w:rsidRPr="00A722E5">
        <w:rPr>
          <w:sz w:val="22"/>
          <w:szCs w:val="22"/>
        </w:rPr>
        <w:t xml:space="preserve"> r., poz. </w:t>
      </w:r>
      <w:r w:rsidR="00C044D7">
        <w:rPr>
          <w:sz w:val="22"/>
          <w:szCs w:val="22"/>
        </w:rPr>
        <w:t>1579</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5796652C"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Tomasz </w:t>
      </w:r>
      <w:proofErr w:type="spellStart"/>
      <w:r w:rsidRPr="00A722E5">
        <w:rPr>
          <w:rFonts w:eastAsia="Calibri"/>
          <w:b/>
          <w:bCs/>
          <w:color w:val="000000"/>
          <w:sz w:val="22"/>
          <w:szCs w:val="22"/>
        </w:rPr>
        <w:t>Marć</w:t>
      </w:r>
      <w:proofErr w:type="spellEnd"/>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Pr="00A722E5">
          <w:rPr>
            <w:rStyle w:val="Hipercze"/>
            <w:sz w:val="22"/>
            <w:szCs w:val="22"/>
            <w:highlight w:val="white"/>
          </w:rPr>
          <w:t>www.bip.wrota.lubuskie.pl/ugzwierzyn</w:t>
        </w:r>
      </w:hyperlink>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7A432317"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3400C8">
        <w:rPr>
          <w:b/>
          <w:bCs/>
          <w:sz w:val="22"/>
          <w:szCs w:val="22"/>
        </w:rPr>
        <w:t>ZP.271.6</w:t>
      </w:r>
      <w:r w:rsidR="00C044D7">
        <w:rPr>
          <w:b/>
          <w:bCs/>
          <w:sz w:val="22"/>
          <w:szCs w:val="22"/>
        </w:rPr>
        <w:t>.2018</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3C977F34"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(Dz. U. z 2017</w:t>
      </w:r>
      <w:r w:rsidRPr="00A722E5">
        <w:rPr>
          <w:sz w:val="22"/>
          <w:szCs w:val="22"/>
        </w:rPr>
        <w:t xml:space="preserve"> r., poz. </w:t>
      </w:r>
      <w:r w:rsidR="00C044D7">
        <w:rPr>
          <w:sz w:val="22"/>
          <w:szCs w:val="22"/>
        </w:rPr>
        <w:t>1579</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5CBF3597" w:rsidR="00015332" w:rsidRDefault="00A64A63" w:rsidP="00C044D7">
      <w:pPr>
        <w:spacing w:line="276" w:lineRule="auto"/>
        <w:ind w:left="709"/>
        <w:jc w:val="both"/>
        <w:rPr>
          <w:sz w:val="22"/>
          <w:szCs w:val="22"/>
        </w:rPr>
      </w:pPr>
      <w:r w:rsidRPr="00A722E5">
        <w:rPr>
          <w:sz w:val="22"/>
          <w:szCs w:val="22"/>
        </w:rPr>
        <w:t>Projekt współfinansowany</w:t>
      </w:r>
      <w:r w:rsidR="00C044D7">
        <w:rPr>
          <w:sz w:val="22"/>
          <w:szCs w:val="22"/>
        </w:rPr>
        <w:t xml:space="preserve">: 63,63% z udziałem środków Europejskiego Funduszu Rolnego na rzecz Rozwoju Obszarów Wiejskich w ramach Programu Rozwoju Obszarów Wiejskich na lata 2014 – 2020 oraz </w:t>
      </w:r>
      <w:r w:rsidR="00DB50FF" w:rsidRPr="00A722E5">
        <w:rPr>
          <w:sz w:val="22"/>
          <w:szCs w:val="22"/>
        </w:rPr>
        <w:t>Budżet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37ABB2F8" w14:textId="4995B950" w:rsidR="0049502A" w:rsidRDefault="00DD04DC" w:rsidP="00667E74">
      <w:pPr>
        <w:widowControl w:val="0"/>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A722E5">
        <w:rPr>
          <w:sz w:val="22"/>
          <w:szCs w:val="22"/>
        </w:rPr>
        <w:t>Przedmiotem zamówienia jest</w:t>
      </w:r>
      <w:r w:rsidR="00A9113D" w:rsidRPr="00A722E5">
        <w:rPr>
          <w:sz w:val="22"/>
          <w:szCs w:val="22"/>
        </w:rPr>
        <w:t xml:space="preserve"> </w:t>
      </w:r>
      <w:r w:rsidR="003351C2" w:rsidRPr="00A722E5">
        <w:rPr>
          <w:sz w:val="22"/>
          <w:szCs w:val="22"/>
        </w:rPr>
        <w:t>wykonanie zadania pn.</w:t>
      </w:r>
      <w:r w:rsidR="003351C2" w:rsidRPr="00A722E5">
        <w:rPr>
          <w:b/>
          <w:sz w:val="22"/>
          <w:szCs w:val="22"/>
        </w:rPr>
        <w:t xml:space="preserve"> </w:t>
      </w:r>
      <w:r w:rsidRPr="00A722E5">
        <w:rPr>
          <w:rFonts w:eastAsia="Calibri"/>
          <w:bCs/>
          <w:sz w:val="22"/>
          <w:szCs w:val="22"/>
        </w:rPr>
        <w:t>„</w:t>
      </w:r>
      <w:r w:rsidR="008A30CD">
        <w:rPr>
          <w:sz w:val="22"/>
          <w:szCs w:val="22"/>
        </w:rPr>
        <w:t xml:space="preserve">Przebudowa stacji uzdatniania wody w Górkach Noteckich: </w:t>
      </w:r>
    </w:p>
    <w:p w14:paraId="71F13ADE" w14:textId="08436295"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zamierzenie inwestycyjne związane z przebudową stacji</w:t>
      </w:r>
      <w:r>
        <w:rPr>
          <w:rFonts w:eastAsiaTheme="minorHAnsi"/>
          <w:sz w:val="22"/>
          <w:szCs w:val="22"/>
          <w:lang w:eastAsia="en-US"/>
        </w:rPr>
        <w:t xml:space="preserve"> </w:t>
      </w:r>
      <w:r w:rsidRPr="008A30CD">
        <w:rPr>
          <w:rFonts w:eastAsiaTheme="minorHAnsi"/>
          <w:sz w:val="22"/>
          <w:szCs w:val="22"/>
          <w:lang w:eastAsia="en-US"/>
        </w:rPr>
        <w:t>wodociągowej w Górkach Noteckich przewiduje wykonanie robót</w:t>
      </w:r>
      <w:r>
        <w:rPr>
          <w:rFonts w:eastAsiaTheme="minorHAnsi"/>
          <w:sz w:val="22"/>
          <w:szCs w:val="22"/>
          <w:lang w:eastAsia="en-US"/>
        </w:rPr>
        <w:t xml:space="preserve"> </w:t>
      </w:r>
      <w:r w:rsidRPr="008A30CD">
        <w:rPr>
          <w:rFonts w:eastAsiaTheme="minorHAnsi"/>
          <w:sz w:val="22"/>
          <w:szCs w:val="22"/>
          <w:lang w:eastAsia="en-US"/>
        </w:rPr>
        <w:t>dostosowujących ujęcie wody , stacji wodociągowej oraz zbiornika</w:t>
      </w:r>
      <w:r>
        <w:rPr>
          <w:rFonts w:eastAsiaTheme="minorHAnsi"/>
          <w:sz w:val="22"/>
          <w:szCs w:val="22"/>
          <w:lang w:eastAsia="en-US"/>
        </w:rPr>
        <w:t xml:space="preserve"> </w:t>
      </w:r>
      <w:r w:rsidRPr="008A30CD">
        <w:rPr>
          <w:rFonts w:eastAsiaTheme="minorHAnsi"/>
          <w:sz w:val="22"/>
          <w:szCs w:val="22"/>
          <w:lang w:eastAsia="en-US"/>
        </w:rPr>
        <w:t>wyrównawczego do automatycznej pracy w oparciu o zdalne sterowanie.</w:t>
      </w:r>
      <w:r>
        <w:rPr>
          <w:rFonts w:eastAsiaTheme="minorHAnsi"/>
          <w:sz w:val="22"/>
          <w:szCs w:val="22"/>
          <w:lang w:eastAsia="en-US"/>
        </w:rPr>
        <w:t xml:space="preserve"> </w:t>
      </w:r>
      <w:r w:rsidRPr="008A30CD">
        <w:rPr>
          <w:rFonts w:eastAsiaTheme="minorHAnsi"/>
          <w:sz w:val="22"/>
          <w:szCs w:val="22"/>
          <w:lang w:eastAsia="en-US"/>
        </w:rPr>
        <w:t>Zainstalowane zostaną urządzenia sterowane elektronicznie</w:t>
      </w:r>
      <w:r>
        <w:rPr>
          <w:rFonts w:eastAsiaTheme="minorHAnsi"/>
          <w:sz w:val="22"/>
          <w:szCs w:val="22"/>
          <w:lang w:eastAsia="en-US"/>
        </w:rPr>
        <w:t xml:space="preserve"> </w:t>
      </w:r>
      <w:r w:rsidRPr="008A30CD">
        <w:rPr>
          <w:rFonts w:eastAsiaTheme="minorHAnsi"/>
          <w:sz w:val="22"/>
          <w:szCs w:val="22"/>
          <w:lang w:eastAsia="en-US"/>
        </w:rPr>
        <w:t>programowalnymi sterownikami. Ponadto przewiduje się montaż nowych</w:t>
      </w:r>
      <w:r>
        <w:rPr>
          <w:rFonts w:eastAsiaTheme="minorHAnsi"/>
          <w:sz w:val="22"/>
          <w:szCs w:val="22"/>
          <w:lang w:eastAsia="en-US"/>
        </w:rPr>
        <w:t xml:space="preserve"> </w:t>
      </w:r>
      <w:r w:rsidRPr="008A30CD">
        <w:rPr>
          <w:rFonts w:eastAsiaTheme="minorHAnsi"/>
          <w:sz w:val="22"/>
          <w:szCs w:val="22"/>
          <w:lang w:eastAsia="en-US"/>
        </w:rPr>
        <w:t>urządzeń gwarantujących optymalizację zużycia energii elektrycznej, w tym</w:t>
      </w:r>
      <w:r>
        <w:rPr>
          <w:rFonts w:eastAsiaTheme="minorHAnsi"/>
          <w:sz w:val="22"/>
          <w:szCs w:val="22"/>
          <w:lang w:eastAsia="en-US"/>
        </w:rPr>
        <w:t xml:space="preserve"> </w:t>
      </w:r>
      <w:r w:rsidRPr="008A30CD">
        <w:rPr>
          <w:rFonts w:eastAsiaTheme="minorHAnsi"/>
          <w:sz w:val="22"/>
          <w:szCs w:val="22"/>
          <w:lang w:eastAsia="en-US"/>
        </w:rPr>
        <w:t>zmniejszenie mocy zainstalowanej , likwidację zapotrzebowania na moc</w:t>
      </w:r>
      <w:r>
        <w:rPr>
          <w:rFonts w:eastAsiaTheme="minorHAnsi"/>
          <w:sz w:val="22"/>
          <w:szCs w:val="22"/>
          <w:lang w:eastAsia="en-US"/>
        </w:rPr>
        <w:t xml:space="preserve"> </w:t>
      </w:r>
      <w:r w:rsidRPr="008A30CD">
        <w:rPr>
          <w:rFonts w:eastAsiaTheme="minorHAnsi"/>
          <w:sz w:val="22"/>
          <w:szCs w:val="22"/>
          <w:lang w:eastAsia="en-US"/>
        </w:rPr>
        <w:t>bierną . W ramach planowanej przebudowy przewiduje się montaż</w:t>
      </w:r>
      <w:r>
        <w:rPr>
          <w:rFonts w:eastAsiaTheme="minorHAnsi"/>
          <w:sz w:val="22"/>
          <w:szCs w:val="22"/>
          <w:lang w:eastAsia="en-US"/>
        </w:rPr>
        <w:t xml:space="preserve"> </w:t>
      </w:r>
      <w:r w:rsidRPr="008A30CD">
        <w:rPr>
          <w:rFonts w:eastAsiaTheme="minorHAnsi"/>
          <w:sz w:val="22"/>
          <w:szCs w:val="22"/>
          <w:lang w:eastAsia="en-US"/>
        </w:rPr>
        <w:t>dwukomorowego zbiornika wyrównawczego o pojemności V = 50 m3 , co</w:t>
      </w:r>
      <w:r>
        <w:rPr>
          <w:rFonts w:eastAsiaTheme="minorHAnsi"/>
          <w:sz w:val="22"/>
          <w:szCs w:val="22"/>
          <w:lang w:eastAsia="en-US"/>
        </w:rPr>
        <w:t xml:space="preserve"> </w:t>
      </w:r>
      <w:r w:rsidRPr="008A30CD">
        <w:rPr>
          <w:rFonts w:eastAsiaTheme="minorHAnsi"/>
          <w:sz w:val="22"/>
          <w:szCs w:val="22"/>
          <w:lang w:eastAsia="en-US"/>
        </w:rPr>
        <w:t>umożliwi zasilanie w wodę systemu wodociągu grupowego Owczarki -</w:t>
      </w:r>
    </w:p>
    <w:p w14:paraId="36CE4262" w14:textId="77777777" w:rsid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lastRenderedPageBreak/>
        <w:t>Zwierzyn w przypadku jego awarii. W obrębie stacji wodociągowej zostaną</w:t>
      </w:r>
      <w:r>
        <w:rPr>
          <w:rFonts w:eastAsiaTheme="minorHAnsi"/>
          <w:sz w:val="22"/>
          <w:szCs w:val="22"/>
          <w:lang w:eastAsia="en-US"/>
        </w:rPr>
        <w:t xml:space="preserve"> </w:t>
      </w:r>
      <w:r w:rsidRPr="008A30CD">
        <w:rPr>
          <w:rFonts w:eastAsiaTheme="minorHAnsi"/>
          <w:sz w:val="22"/>
          <w:szCs w:val="22"/>
          <w:lang w:eastAsia="en-US"/>
        </w:rPr>
        <w:t>wykonane nowe rurociągi przyłączeniowe oraz zostaną wymienione kable</w:t>
      </w:r>
      <w:r>
        <w:rPr>
          <w:rFonts w:eastAsiaTheme="minorHAnsi"/>
          <w:sz w:val="22"/>
          <w:szCs w:val="22"/>
          <w:lang w:eastAsia="en-US"/>
        </w:rPr>
        <w:t xml:space="preserve"> </w:t>
      </w:r>
      <w:r w:rsidRPr="008A30CD">
        <w:rPr>
          <w:rFonts w:eastAsiaTheme="minorHAnsi"/>
          <w:sz w:val="22"/>
          <w:szCs w:val="22"/>
          <w:lang w:eastAsia="en-US"/>
        </w:rPr>
        <w:t>zasilające ujęcia wody.</w:t>
      </w:r>
      <w:r>
        <w:rPr>
          <w:rFonts w:eastAsiaTheme="minorHAnsi"/>
          <w:sz w:val="22"/>
          <w:szCs w:val="22"/>
          <w:lang w:eastAsia="en-US"/>
        </w:rPr>
        <w:t xml:space="preserve"> </w:t>
      </w:r>
      <w:r w:rsidRPr="008A30CD">
        <w:rPr>
          <w:rFonts w:eastAsiaTheme="minorHAnsi"/>
          <w:sz w:val="22"/>
          <w:szCs w:val="22"/>
          <w:lang w:eastAsia="en-US"/>
        </w:rPr>
        <w:t>Zakres prac budowlanych przewiduje wykonanie malowania budynku</w:t>
      </w:r>
      <w:r>
        <w:rPr>
          <w:rFonts w:eastAsiaTheme="minorHAnsi"/>
          <w:sz w:val="22"/>
          <w:szCs w:val="22"/>
          <w:lang w:eastAsia="en-US"/>
        </w:rPr>
        <w:t xml:space="preserve"> </w:t>
      </w:r>
      <w:r w:rsidRPr="008A30CD">
        <w:rPr>
          <w:rFonts w:eastAsiaTheme="minorHAnsi"/>
          <w:sz w:val="22"/>
          <w:szCs w:val="22"/>
          <w:lang w:eastAsia="en-US"/>
        </w:rPr>
        <w:t>stacji wodociągowej oraz doszczelnienie ścian budynku wykonanych z płyty</w:t>
      </w:r>
      <w:r>
        <w:rPr>
          <w:rFonts w:eastAsiaTheme="minorHAnsi"/>
          <w:sz w:val="22"/>
          <w:szCs w:val="22"/>
          <w:lang w:eastAsia="en-US"/>
        </w:rPr>
        <w:t xml:space="preserve"> </w:t>
      </w:r>
      <w:r w:rsidRPr="008A30CD">
        <w:rPr>
          <w:rFonts w:eastAsiaTheme="minorHAnsi"/>
          <w:sz w:val="22"/>
          <w:szCs w:val="22"/>
          <w:lang w:eastAsia="en-US"/>
        </w:rPr>
        <w:t>obornickiej. . W pomieszczeniach stacji zostaną wykonane prace budowlane</w:t>
      </w:r>
      <w:r>
        <w:rPr>
          <w:rFonts w:eastAsiaTheme="minorHAnsi"/>
          <w:sz w:val="22"/>
          <w:szCs w:val="22"/>
          <w:lang w:eastAsia="en-US"/>
        </w:rPr>
        <w:t xml:space="preserve"> </w:t>
      </w:r>
      <w:r w:rsidRPr="008A30CD">
        <w:rPr>
          <w:rFonts w:eastAsiaTheme="minorHAnsi"/>
          <w:sz w:val="22"/>
          <w:szCs w:val="22"/>
          <w:lang w:eastAsia="en-US"/>
        </w:rPr>
        <w:t>dostosowujące obiekt do obecnie obowiązujących przepisów sanitarnych.</w:t>
      </w:r>
      <w:r>
        <w:rPr>
          <w:rFonts w:eastAsiaTheme="minorHAnsi"/>
          <w:sz w:val="22"/>
          <w:szCs w:val="22"/>
          <w:lang w:eastAsia="en-US"/>
        </w:rPr>
        <w:t xml:space="preserve"> </w:t>
      </w:r>
      <w:r w:rsidRPr="008A30CD">
        <w:rPr>
          <w:rFonts w:eastAsiaTheme="minorHAnsi"/>
          <w:sz w:val="22"/>
          <w:szCs w:val="22"/>
          <w:lang w:eastAsia="en-US"/>
        </w:rPr>
        <w:t>Przewiduje się również wymianę siatki ogrodzenia terenu stacji</w:t>
      </w:r>
      <w:r>
        <w:rPr>
          <w:rFonts w:eastAsiaTheme="minorHAnsi"/>
          <w:sz w:val="22"/>
          <w:szCs w:val="22"/>
          <w:lang w:eastAsia="en-US"/>
        </w:rPr>
        <w:t xml:space="preserve"> </w:t>
      </w:r>
      <w:r w:rsidRPr="008A30CD">
        <w:rPr>
          <w:rFonts w:eastAsiaTheme="minorHAnsi"/>
          <w:sz w:val="22"/>
          <w:szCs w:val="22"/>
          <w:lang w:eastAsia="en-US"/>
        </w:rPr>
        <w:t>wodociągowej oraz odtworzenie nawierzchni dróg wewnętrznych.</w:t>
      </w:r>
    </w:p>
    <w:p w14:paraId="14463893" w14:textId="77777777" w:rsidR="008A30CD" w:rsidRDefault="008A30CD" w:rsidP="00667E74">
      <w:pPr>
        <w:autoSpaceDE w:val="0"/>
        <w:autoSpaceDN w:val="0"/>
        <w:adjustRightInd w:val="0"/>
        <w:spacing w:line="276" w:lineRule="auto"/>
        <w:ind w:left="705"/>
        <w:rPr>
          <w:rFonts w:eastAsiaTheme="minorHAnsi"/>
          <w:sz w:val="22"/>
          <w:szCs w:val="22"/>
          <w:lang w:eastAsia="en-US"/>
        </w:rPr>
      </w:pPr>
    </w:p>
    <w:p w14:paraId="096E4505" w14:textId="562027A0"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jest także wybudowanie dwóch oczyszczalni przydomowych na terenie Górek Noteckich. wykonanie systemu oczyszczalni ścieków składającego się z osadnika gnilnego o poj. 2000</w:t>
      </w:r>
      <w:r>
        <w:rPr>
          <w:rFonts w:eastAsiaTheme="minorHAnsi"/>
          <w:sz w:val="22"/>
          <w:szCs w:val="22"/>
          <w:lang w:eastAsia="en-US"/>
        </w:rPr>
        <w:t xml:space="preserve"> </w:t>
      </w:r>
      <w:r w:rsidRPr="008A30CD">
        <w:rPr>
          <w:rFonts w:eastAsiaTheme="minorHAnsi"/>
          <w:sz w:val="22"/>
          <w:szCs w:val="22"/>
          <w:lang w:eastAsia="en-US"/>
        </w:rPr>
        <w:t xml:space="preserve">litrów z systemem tuneli rozsączających ułożonych w </w:t>
      </w:r>
      <w:proofErr w:type="spellStart"/>
      <w:r w:rsidRPr="008A30CD">
        <w:rPr>
          <w:rFonts w:eastAsiaTheme="minorHAnsi"/>
          <w:sz w:val="22"/>
          <w:szCs w:val="22"/>
          <w:lang w:eastAsia="en-US"/>
        </w:rPr>
        <w:t>obsypce</w:t>
      </w:r>
      <w:proofErr w:type="spellEnd"/>
      <w:r w:rsidRPr="008A30CD">
        <w:rPr>
          <w:rFonts w:eastAsiaTheme="minorHAnsi"/>
          <w:sz w:val="22"/>
          <w:szCs w:val="22"/>
          <w:lang w:eastAsia="en-US"/>
        </w:rPr>
        <w:t xml:space="preserve"> żwirowej</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674FFE9" w14:textId="23EA6F79" w:rsidR="00AC54AA" w:rsidRDefault="00124B04" w:rsidP="00A722E5">
      <w:pPr>
        <w:pStyle w:val="Default"/>
        <w:spacing w:line="276" w:lineRule="auto"/>
        <w:ind w:left="709"/>
        <w:jc w:val="both"/>
        <w:rPr>
          <w:sz w:val="22"/>
          <w:szCs w:val="22"/>
        </w:rPr>
      </w:pPr>
      <w:r w:rsidRPr="00A722E5">
        <w:rPr>
          <w:sz w:val="22"/>
          <w:szCs w:val="22"/>
        </w:rPr>
        <w:t>45</w:t>
      </w:r>
      <w:r w:rsidR="008A30CD">
        <w:rPr>
          <w:sz w:val="22"/>
          <w:szCs w:val="22"/>
        </w:rPr>
        <w:t>232430-5 Roboty w zakresie uzdatniania wody.</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1DB594D0" w14:textId="535689F4" w:rsidR="00E35744" w:rsidRPr="00A722E5" w:rsidRDefault="005C55C3" w:rsidP="00A722E5">
      <w:pPr>
        <w:pStyle w:val="Default"/>
        <w:spacing w:line="276" w:lineRule="auto"/>
        <w:ind w:left="709"/>
        <w:jc w:val="both"/>
        <w:rPr>
          <w:color w:val="auto"/>
          <w:sz w:val="22"/>
          <w:szCs w:val="22"/>
        </w:rPr>
      </w:pPr>
      <w:r>
        <w:rPr>
          <w:color w:val="auto"/>
          <w:sz w:val="22"/>
          <w:szCs w:val="22"/>
        </w:rPr>
        <w:t>45453000-7 R</w:t>
      </w:r>
      <w:r w:rsidR="00E35744">
        <w:rPr>
          <w:color w:val="auto"/>
          <w:sz w:val="22"/>
          <w:szCs w:val="22"/>
        </w:rPr>
        <w:t>oboty remontowe i renowacyjne</w:t>
      </w:r>
    </w:p>
    <w:p w14:paraId="1C455B1F" w14:textId="03C90C9A" w:rsidR="00124B04" w:rsidRPr="00A722E5" w:rsidRDefault="00124B04" w:rsidP="00A722E5">
      <w:pPr>
        <w:spacing w:line="276" w:lineRule="auto"/>
        <w:ind w:left="709"/>
        <w:rPr>
          <w:sz w:val="22"/>
          <w:szCs w:val="22"/>
        </w:rPr>
      </w:pPr>
      <w:r w:rsidRPr="00A722E5">
        <w:rPr>
          <w:sz w:val="22"/>
          <w:szCs w:val="22"/>
        </w:rPr>
        <w:t>45330000-9 Roboty instalacyjne wodno-kanalizacyjne i sanitarne</w:t>
      </w:r>
    </w:p>
    <w:p w14:paraId="6CEDEDD5" w14:textId="5F63252B" w:rsidR="00124B04" w:rsidRPr="00A722E5" w:rsidRDefault="0021478A" w:rsidP="00A722E5">
      <w:pPr>
        <w:spacing w:line="276" w:lineRule="auto"/>
        <w:ind w:left="709"/>
        <w:rPr>
          <w:sz w:val="22"/>
          <w:szCs w:val="22"/>
        </w:rPr>
      </w:pPr>
      <w:r w:rsidRPr="00A722E5">
        <w:rPr>
          <w:sz w:val="22"/>
          <w:szCs w:val="22"/>
        </w:rPr>
        <w:t>45332000-3 Roboty instalacyjne wodne i kanalizacyjne</w:t>
      </w:r>
    </w:p>
    <w:p w14:paraId="7995CFA3" w14:textId="611A6498" w:rsidR="0021478A" w:rsidRPr="00A722E5" w:rsidRDefault="0021478A" w:rsidP="00A722E5">
      <w:pPr>
        <w:spacing w:line="276" w:lineRule="auto"/>
        <w:ind w:left="709"/>
        <w:rPr>
          <w:sz w:val="22"/>
          <w:szCs w:val="22"/>
        </w:rPr>
      </w:pPr>
      <w:r w:rsidRPr="00A722E5">
        <w:rPr>
          <w:sz w:val="22"/>
          <w:szCs w:val="22"/>
        </w:rPr>
        <w:t>45332300-6 Roboty instalacyjne kanalizacyjne</w:t>
      </w:r>
    </w:p>
    <w:p w14:paraId="6213E72C" w14:textId="1F9B3370" w:rsidR="00E523CB" w:rsidRDefault="00E523CB" w:rsidP="00A722E5">
      <w:pPr>
        <w:spacing w:line="276" w:lineRule="auto"/>
        <w:ind w:left="709"/>
        <w:rPr>
          <w:sz w:val="22"/>
          <w:szCs w:val="22"/>
        </w:rPr>
      </w:pPr>
      <w:r w:rsidRPr="00A722E5">
        <w:rPr>
          <w:sz w:val="22"/>
          <w:szCs w:val="22"/>
        </w:rPr>
        <w:t>45310000-3 Roboty instalacyjne elektryczne</w:t>
      </w:r>
    </w:p>
    <w:p w14:paraId="39F731A7" w14:textId="5B38AF9B" w:rsidR="005C55C3" w:rsidRDefault="005C55C3" w:rsidP="00A722E5">
      <w:pPr>
        <w:spacing w:line="276" w:lineRule="auto"/>
        <w:ind w:left="709"/>
        <w:rPr>
          <w:sz w:val="22"/>
          <w:szCs w:val="22"/>
        </w:rPr>
      </w:pPr>
      <w:r>
        <w:rPr>
          <w:sz w:val="22"/>
          <w:szCs w:val="22"/>
        </w:rPr>
        <w:t>45111000-8 Roboty ziemne</w:t>
      </w:r>
    </w:p>
    <w:p w14:paraId="28B5A247" w14:textId="5B1F56E2" w:rsidR="005C55C3" w:rsidRPr="00A722E5" w:rsidRDefault="005C55C3" w:rsidP="00A722E5">
      <w:pPr>
        <w:spacing w:line="276" w:lineRule="auto"/>
        <w:ind w:left="709"/>
        <w:rPr>
          <w:sz w:val="22"/>
          <w:szCs w:val="22"/>
        </w:rPr>
      </w:pPr>
      <w:r>
        <w:rPr>
          <w:sz w:val="22"/>
          <w:szCs w:val="22"/>
        </w:rPr>
        <w:t xml:space="preserve">45200000-9 Roboty </w:t>
      </w:r>
      <w:proofErr w:type="spellStart"/>
      <w:r>
        <w:rPr>
          <w:sz w:val="22"/>
          <w:szCs w:val="22"/>
        </w:rPr>
        <w:t>montazowe</w:t>
      </w:r>
      <w:proofErr w:type="spellEnd"/>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3CF3132"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8A30CD" w:rsidRPr="008A30CD">
        <w:rPr>
          <w:i w:val="0"/>
          <w:sz w:val="22"/>
          <w:szCs w:val="22"/>
        </w:rPr>
        <w:t>Dz. U. z 2017 r., poz. 1579).</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 xml:space="preserve">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w:t>
      </w:r>
      <w:r w:rsidR="00E523CB" w:rsidRPr="00A722E5">
        <w:rPr>
          <w:rFonts w:eastAsia="Lucida Sans Unicode"/>
          <w:kern w:val="3"/>
          <w:sz w:val="22"/>
          <w:szCs w:val="22"/>
        </w:rPr>
        <w:lastRenderedPageBreak/>
        <w:t>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lastRenderedPageBreak/>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60D69224"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550443">
        <w:rPr>
          <w:b w:val="0"/>
          <w:bCs w:val="0"/>
          <w:sz w:val="22"/>
          <w:szCs w:val="22"/>
        </w:rPr>
        <w:t>31</w:t>
      </w:r>
      <w:r w:rsidR="005C55C3">
        <w:rPr>
          <w:b w:val="0"/>
          <w:bCs w:val="0"/>
          <w:sz w:val="22"/>
          <w:szCs w:val="22"/>
        </w:rPr>
        <w:t xml:space="preserve"> </w:t>
      </w:r>
      <w:r w:rsidR="004744D4">
        <w:rPr>
          <w:b w:val="0"/>
          <w:bCs w:val="0"/>
          <w:sz w:val="22"/>
          <w:szCs w:val="22"/>
        </w:rPr>
        <w:t>sierpnia</w:t>
      </w:r>
      <w:r w:rsidR="005C55C3">
        <w:rPr>
          <w:b w:val="0"/>
          <w:bCs w:val="0"/>
          <w:sz w:val="22"/>
          <w:szCs w:val="22"/>
        </w:rPr>
        <w:t xml:space="preserve"> 2018</w:t>
      </w:r>
      <w:r w:rsidR="00171614">
        <w:rPr>
          <w:b w:val="0"/>
          <w:bCs w:val="0"/>
          <w:sz w:val="22"/>
          <w:szCs w:val="22"/>
        </w:rPr>
        <w:t>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lastRenderedPageBreak/>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08E0ED4E"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na</w:t>
      </w:r>
      <w:r w:rsidR="00FA7DFE" w:rsidRPr="00A722E5">
        <w:rPr>
          <w:sz w:val="22"/>
          <w:szCs w:val="22"/>
        </w:rPr>
        <w:t xml:space="preserve"> </w:t>
      </w:r>
      <w:r w:rsidR="005C55C3">
        <w:rPr>
          <w:sz w:val="22"/>
          <w:szCs w:val="22"/>
        </w:rPr>
        <w:t>przebudowie, budowie, remoncie stacji uzdatniania wody</w:t>
      </w:r>
      <w:r w:rsidR="00AC56B8" w:rsidRPr="00840D30">
        <w:rPr>
          <w:sz w:val="22"/>
          <w:szCs w:val="22"/>
        </w:rPr>
        <w:t>,</w:t>
      </w:r>
    </w:p>
    <w:p w14:paraId="7ABE4AB8" w14:textId="0FC52BB9" w:rsidR="00064616" w:rsidRPr="00A722E5" w:rsidRDefault="00064616" w:rsidP="00A722E5">
      <w:pPr>
        <w:autoSpaceDE w:val="0"/>
        <w:autoSpaceDN w:val="0"/>
        <w:adjustRightInd w:val="0"/>
        <w:spacing w:line="276" w:lineRule="auto"/>
        <w:ind w:left="709"/>
        <w:jc w:val="both"/>
        <w:rPr>
          <w:b/>
          <w:sz w:val="22"/>
          <w:szCs w:val="22"/>
        </w:rPr>
      </w:pPr>
      <w:r>
        <w:rPr>
          <w:b/>
          <w:sz w:val="22"/>
          <w:szCs w:val="22"/>
        </w:rPr>
        <w:t xml:space="preserve">- </w:t>
      </w:r>
      <w:r w:rsidRPr="00064616">
        <w:rPr>
          <w:sz w:val="22"/>
          <w:szCs w:val="22"/>
        </w:rPr>
        <w:t>jednej roboty polegającej na budowie przydomowej oczyszczalni ścieków</w:t>
      </w: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lastRenderedPageBreak/>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w:t>
      </w:r>
      <w:r w:rsidR="00015332" w:rsidRPr="00A722E5">
        <w:rPr>
          <w:b w:val="0"/>
          <w:sz w:val="22"/>
          <w:szCs w:val="22"/>
        </w:rPr>
        <w:lastRenderedPageBreak/>
        <w:t>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lastRenderedPageBreak/>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lastRenderedPageBreak/>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lastRenderedPageBreak/>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w:t>
      </w:r>
      <w:r w:rsidRPr="00A722E5">
        <w:rPr>
          <w:b w:val="0"/>
          <w:sz w:val="22"/>
          <w:szCs w:val="22"/>
        </w:rPr>
        <w:lastRenderedPageBreak/>
        <w:t xml:space="preserve">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bookmarkStart w:id="0" w:name="_GoBack"/>
            <w:bookmarkEnd w:id="0"/>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AB7F910"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3A1586">
              <w:rPr>
                <w:b/>
                <w:bCs/>
              </w:rPr>
              <w:t>6</w:t>
            </w:r>
            <w:r w:rsidR="007C22BE" w:rsidRPr="00AD370A">
              <w:rPr>
                <w:b/>
                <w:bCs/>
              </w:rPr>
              <w:t>.</w:t>
            </w:r>
            <w:r w:rsidR="007827F7" w:rsidRPr="00AD370A">
              <w:rPr>
                <w:b/>
                <w:bCs/>
              </w:rPr>
              <w:t>201</w:t>
            </w:r>
            <w:r w:rsidR="009208E4">
              <w:rPr>
                <w:b/>
                <w:bCs/>
              </w:rPr>
              <w:t>8</w:t>
            </w:r>
          </w:p>
          <w:p w14:paraId="6196CF57" w14:textId="255E43EE" w:rsidR="00CC6E33" w:rsidRPr="00AD370A" w:rsidRDefault="00CC6E33" w:rsidP="00A722E5">
            <w:pPr>
              <w:spacing w:before="120" w:line="276" w:lineRule="auto"/>
              <w:ind w:left="-35"/>
              <w:jc w:val="center"/>
              <w:rPr>
                <w:rFonts w:eastAsia="Calibri"/>
                <w:i/>
                <w:caps/>
                <w:color w:val="000000" w:themeColor="text1"/>
              </w:rPr>
            </w:pPr>
            <w:r w:rsidRPr="00AD370A">
              <w:rPr>
                <w:rFonts w:eastAsia="Calibri"/>
                <w:bCs/>
                <w:i/>
                <w:color w:val="000000" w:themeColor="text1"/>
              </w:rPr>
              <w:t>„</w:t>
            </w:r>
            <w:r w:rsidR="009208E4">
              <w:rPr>
                <w:i/>
                <w:color w:val="000000" w:themeColor="text1"/>
              </w:rPr>
              <w:t>Przebudowa stacji uzdatniania wody w Górkach Noteckich oraz budowa oczyszczalni przydomowych</w:t>
            </w:r>
            <w:r w:rsidRPr="00AD370A">
              <w:rPr>
                <w:rFonts w:eastAsia="Calibri"/>
                <w:i/>
                <w:caps/>
                <w:color w:val="000000" w:themeColor="text1"/>
              </w:rPr>
              <w:t>”</w:t>
            </w:r>
          </w:p>
          <w:p w14:paraId="46750094" w14:textId="0D75860C" w:rsidR="00015332" w:rsidRPr="00AD370A" w:rsidRDefault="007827F7" w:rsidP="00A722E5">
            <w:pPr>
              <w:spacing w:before="120" w:line="276" w:lineRule="auto"/>
              <w:ind w:left="-35"/>
              <w:jc w:val="center"/>
              <w:rPr>
                <w:b/>
                <w:bCs/>
              </w:rPr>
            </w:pPr>
            <w:r w:rsidRPr="00AD370A">
              <w:rPr>
                <w:b/>
                <w:bCs/>
              </w:rPr>
              <w:t xml:space="preserve"> </w:t>
            </w:r>
            <w:r w:rsidR="00015332" w:rsidRPr="00AD370A">
              <w:rPr>
                <w:b/>
                <w:bCs/>
              </w:rPr>
              <w:t xml:space="preserve">„Nie otwierać przed dniem </w:t>
            </w:r>
            <w:r w:rsidR="003400C8">
              <w:rPr>
                <w:b/>
                <w:bCs/>
              </w:rPr>
              <w:t>25</w:t>
            </w:r>
            <w:r w:rsidR="00840D30">
              <w:rPr>
                <w:b/>
                <w:bCs/>
              </w:rPr>
              <w:t>.0</w:t>
            </w:r>
            <w:r w:rsidR="004744D4">
              <w:rPr>
                <w:b/>
                <w:bCs/>
              </w:rPr>
              <w:t>4</w:t>
            </w:r>
            <w:r w:rsidR="009208E4">
              <w:rPr>
                <w:b/>
                <w:bCs/>
              </w:rPr>
              <w:t>.2018</w:t>
            </w:r>
            <w:r w:rsidR="00015332" w:rsidRPr="00AD370A">
              <w:rPr>
                <w:b/>
                <w:bCs/>
              </w:rPr>
              <w:t xml:space="preserve"> godz. </w:t>
            </w:r>
            <w:r w:rsidR="00F05285" w:rsidRPr="00AD370A">
              <w:rPr>
                <w:b/>
                <w:bCs/>
              </w:rPr>
              <w:t>10.00</w:t>
            </w:r>
            <w:r w:rsidR="00015332" w:rsidRPr="00AD370A">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w:t>
      </w:r>
      <w:r w:rsidRPr="00A722E5">
        <w:rPr>
          <w:sz w:val="22"/>
          <w:szCs w:val="22"/>
        </w:rPr>
        <w:lastRenderedPageBreak/>
        <w:t xml:space="preserve">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 xml:space="preserve">nazwę dającego zlecenie udzielenia gwarancji (Wykonawcy), beneficjenta gwarancji (Zamawiającego), gwaranta (banku lub instytucji ubezpieczeniowej udzielającej </w:t>
      </w:r>
      <w:r w:rsidRPr="00A722E5">
        <w:rPr>
          <w:sz w:val="22"/>
          <w:szCs w:val="22"/>
        </w:rPr>
        <w:lastRenderedPageBreak/>
        <w:t>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lastRenderedPageBreak/>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667C3108"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3400C8">
        <w:rPr>
          <w:b/>
          <w:sz w:val="22"/>
          <w:szCs w:val="22"/>
        </w:rPr>
        <w:t>25</w:t>
      </w:r>
      <w:r w:rsidR="00825E5C">
        <w:rPr>
          <w:b/>
          <w:sz w:val="22"/>
          <w:szCs w:val="22"/>
        </w:rPr>
        <w:t>.04</w:t>
      </w:r>
      <w:r w:rsidR="006348F1">
        <w:rPr>
          <w:b/>
          <w:sz w:val="22"/>
          <w:szCs w:val="22"/>
        </w:rPr>
        <w:t>.2018</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21D8DCE2"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3400C8">
        <w:rPr>
          <w:b/>
          <w:sz w:val="22"/>
          <w:szCs w:val="22"/>
        </w:rPr>
        <w:t>25</w:t>
      </w:r>
      <w:r w:rsidR="00A722E5" w:rsidRPr="00A722E5">
        <w:rPr>
          <w:b/>
          <w:sz w:val="22"/>
          <w:szCs w:val="22"/>
        </w:rPr>
        <w:t>.</w:t>
      </w:r>
      <w:r w:rsidR="00825E5C">
        <w:rPr>
          <w:b/>
          <w:sz w:val="22"/>
          <w:szCs w:val="22"/>
        </w:rPr>
        <w:t>04</w:t>
      </w:r>
      <w:r w:rsidR="00A50557" w:rsidRPr="00A722E5">
        <w:rPr>
          <w:b/>
          <w:sz w:val="22"/>
          <w:szCs w:val="22"/>
        </w:rPr>
        <w:t>.</w:t>
      </w:r>
      <w:r w:rsidRPr="00A722E5">
        <w:rPr>
          <w:b/>
          <w:spacing w:val="4"/>
          <w:sz w:val="22"/>
          <w:szCs w:val="22"/>
        </w:rPr>
        <w:t>201</w:t>
      </w:r>
      <w:r w:rsidR="006348F1">
        <w:rPr>
          <w:b/>
          <w:spacing w:val="4"/>
          <w:sz w:val="22"/>
          <w:szCs w:val="22"/>
        </w:rPr>
        <w:t>8</w:t>
      </w:r>
      <w:r w:rsidRPr="00A722E5">
        <w:rPr>
          <w:b/>
          <w:spacing w:val="4"/>
          <w:sz w:val="22"/>
          <w:szCs w:val="22"/>
        </w:rPr>
        <w:t xml:space="preserve"> 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t>Cena (C)</w:t>
      </w:r>
      <w:r w:rsidRPr="00A722E5">
        <w:rPr>
          <w:rFonts w:ascii="Times New Roman" w:hAnsi="Times New Roman" w:cs="Times New Roman"/>
          <w:b/>
        </w:rPr>
        <w:tab/>
        <w:t>– 60 %</w:t>
      </w:r>
      <w:r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lastRenderedPageBreak/>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77777777" w:rsidR="002854EA" w:rsidRPr="00A722E5" w:rsidRDefault="00AB0549" w:rsidP="00A722E5">
      <w:pPr>
        <w:tabs>
          <w:tab w:val="left" w:pos="720"/>
        </w:tabs>
        <w:spacing w:line="276" w:lineRule="auto"/>
        <w:ind w:left="720"/>
        <w:jc w:val="both"/>
        <w:rPr>
          <w:sz w:val="22"/>
          <w:szCs w:val="22"/>
        </w:rPr>
      </w:pPr>
      <w:r>
        <w:rPr>
          <w:rFonts w:eastAsia="Calibri"/>
          <w:noProof/>
          <w:sz w:val="22"/>
          <w:szCs w:val="22"/>
        </w:rPr>
        <w:pict w14:anchorId="467501D0">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position-horizontal-relative:text;mso-position-vertical-relative:text;mso-width-relative:margin;mso-height-relative:margin" stroked="f">
            <v:textbox style="mso-next-textbox:#Pole tekstowe 2">
              <w:txbxContent>
                <w:p w14:paraId="467501D9" w14:textId="77777777" w:rsidR="008A30CD" w:rsidRPr="00B17882" w:rsidRDefault="008A30CD" w:rsidP="00B17882">
                  <w:pPr>
                    <w:rPr>
                      <w:szCs w:val="20"/>
                    </w:rPr>
                  </w:pPr>
                </w:p>
              </w:txbxContent>
            </v:textbox>
          </v:shape>
        </w:pic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w:t>
      </w:r>
      <w:r w:rsidRPr="00A722E5">
        <w:rPr>
          <w:rFonts w:eastAsia="Calibri"/>
          <w:sz w:val="22"/>
          <w:szCs w:val="22"/>
          <w:lang w:eastAsia="en-US"/>
        </w:rPr>
        <w:lastRenderedPageBreak/>
        <w:t>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lastRenderedPageBreak/>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46750159" w14:textId="77777777" w:rsidR="00015332" w:rsidRPr="00A722E5" w:rsidRDefault="00015332" w:rsidP="00A722E5">
      <w:pPr>
        <w:spacing w:line="276" w:lineRule="auto"/>
        <w:ind w:left="705" w:hanging="705"/>
        <w:jc w:val="both"/>
        <w:rPr>
          <w:sz w:val="22"/>
          <w:szCs w:val="22"/>
        </w:rPr>
      </w:pPr>
    </w:p>
    <w:p w14:paraId="4675015A" w14:textId="77777777" w:rsidR="00015332" w:rsidRPr="00A722E5" w:rsidRDefault="00015332" w:rsidP="00A722E5">
      <w:pPr>
        <w:spacing w:line="276" w:lineRule="auto"/>
        <w:ind w:left="705" w:hanging="705"/>
        <w:jc w:val="both"/>
        <w:rPr>
          <w:sz w:val="22"/>
          <w:szCs w:val="22"/>
        </w:rPr>
      </w:pPr>
    </w:p>
    <w:p w14:paraId="4675015B"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C"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D"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E" w14:textId="77777777" w:rsidR="00015332" w:rsidRPr="00A722E5" w:rsidRDefault="00015332" w:rsidP="00A722E5">
      <w:pPr>
        <w:spacing w:line="276" w:lineRule="auto"/>
        <w:rPr>
          <w:sz w:val="22"/>
          <w:szCs w:val="22"/>
        </w:rPr>
      </w:pPr>
    </w:p>
    <w:p w14:paraId="4675015F" w14:textId="77777777" w:rsidR="00015332" w:rsidRPr="00A722E5" w:rsidRDefault="00015332" w:rsidP="00A722E5">
      <w:pPr>
        <w:pStyle w:val="Nagwek6"/>
        <w:spacing w:before="0" w:line="276" w:lineRule="auto"/>
        <w:rPr>
          <w:rFonts w:ascii="Times New Roman" w:hAnsi="Times New Roman" w:cs="Times New Roman"/>
          <w:sz w:val="22"/>
          <w:szCs w:val="22"/>
        </w:rPr>
      </w:pPr>
    </w:p>
    <w:p w14:paraId="46750160" w14:textId="77777777" w:rsidR="00015332" w:rsidRPr="00A722E5" w:rsidRDefault="00015332" w:rsidP="00A722E5">
      <w:pPr>
        <w:spacing w:line="276" w:lineRule="auto"/>
        <w:rPr>
          <w:sz w:val="22"/>
          <w:szCs w:val="22"/>
        </w:rPr>
      </w:pPr>
    </w:p>
    <w:p w14:paraId="46750161" w14:textId="77777777" w:rsidR="00015332" w:rsidRPr="00A722E5" w:rsidRDefault="00015332" w:rsidP="00A722E5">
      <w:pPr>
        <w:spacing w:line="276" w:lineRule="auto"/>
        <w:rPr>
          <w:sz w:val="22"/>
          <w:szCs w:val="22"/>
        </w:rPr>
      </w:pPr>
    </w:p>
    <w:p w14:paraId="46750162" w14:textId="77777777" w:rsidR="00015332" w:rsidRPr="00A722E5" w:rsidRDefault="00015332" w:rsidP="00A722E5">
      <w:pPr>
        <w:spacing w:line="276" w:lineRule="auto"/>
        <w:rPr>
          <w:sz w:val="22"/>
          <w:szCs w:val="22"/>
        </w:rPr>
      </w:pPr>
    </w:p>
    <w:p w14:paraId="46750163" w14:textId="77777777"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5" w14:textId="77777777" w:rsidR="00015332" w:rsidRPr="00A722E5" w:rsidRDefault="00015332" w:rsidP="00A722E5">
      <w:pPr>
        <w:spacing w:line="276" w:lineRule="auto"/>
        <w:rPr>
          <w:sz w:val="22"/>
          <w:szCs w:val="22"/>
        </w:rPr>
      </w:pPr>
    </w:p>
    <w:p w14:paraId="46750166" w14:textId="77777777" w:rsidR="002C1F9E" w:rsidRPr="00A722E5" w:rsidRDefault="002C1F9E" w:rsidP="00A722E5">
      <w:pPr>
        <w:spacing w:line="276" w:lineRule="auto"/>
        <w:rPr>
          <w:sz w:val="22"/>
          <w:szCs w:val="22"/>
        </w:rPr>
      </w:pPr>
    </w:p>
    <w:p w14:paraId="46750167" w14:textId="77777777" w:rsidR="002C1F9E" w:rsidRPr="00A722E5" w:rsidRDefault="002C1F9E" w:rsidP="00A722E5">
      <w:pPr>
        <w:spacing w:line="276" w:lineRule="auto"/>
        <w:rPr>
          <w:sz w:val="22"/>
          <w:szCs w:val="22"/>
        </w:rPr>
      </w:pPr>
    </w:p>
    <w:p w14:paraId="46750168" w14:textId="77777777" w:rsidR="00015332" w:rsidRPr="00A722E5" w:rsidRDefault="00015332" w:rsidP="00A722E5">
      <w:pPr>
        <w:spacing w:line="276" w:lineRule="auto"/>
        <w:rPr>
          <w:sz w:val="22"/>
          <w:szCs w:val="22"/>
        </w:rPr>
      </w:pPr>
    </w:p>
    <w:p w14:paraId="16F12C30" w14:textId="33CFD641" w:rsidR="002F0381" w:rsidRPr="00A722E5" w:rsidRDefault="002F0381" w:rsidP="00A722E5">
      <w:pPr>
        <w:spacing w:line="276" w:lineRule="auto"/>
        <w:rPr>
          <w:sz w:val="22"/>
          <w:szCs w:val="22"/>
        </w:rPr>
      </w:pPr>
    </w:p>
    <w:p w14:paraId="32604F52" w14:textId="77777777" w:rsidR="002F0381" w:rsidRPr="00A722E5" w:rsidRDefault="002F0381" w:rsidP="00A722E5">
      <w:pPr>
        <w:spacing w:line="276" w:lineRule="auto"/>
        <w:rPr>
          <w:sz w:val="22"/>
          <w:szCs w:val="22"/>
        </w:rPr>
      </w:pPr>
    </w:p>
    <w:p w14:paraId="27D91A4C" w14:textId="77777777" w:rsidR="002F0381" w:rsidRPr="00A722E5" w:rsidRDefault="002F0381" w:rsidP="00A722E5">
      <w:pPr>
        <w:spacing w:line="276" w:lineRule="auto"/>
        <w:rPr>
          <w:sz w:val="22"/>
          <w:szCs w:val="22"/>
        </w:rPr>
      </w:pPr>
    </w:p>
    <w:p w14:paraId="396C9AC9" w14:textId="77777777" w:rsidR="002F0381" w:rsidRPr="00A722E5" w:rsidRDefault="002F0381" w:rsidP="00A722E5">
      <w:pPr>
        <w:spacing w:line="276" w:lineRule="auto"/>
        <w:rPr>
          <w:sz w:val="22"/>
          <w:szCs w:val="22"/>
        </w:rPr>
      </w:pPr>
    </w:p>
    <w:p w14:paraId="00FC772C" w14:textId="77777777" w:rsidR="002F0381" w:rsidRPr="00A722E5" w:rsidRDefault="002F0381" w:rsidP="00A722E5">
      <w:pPr>
        <w:spacing w:line="276" w:lineRule="auto"/>
        <w:rPr>
          <w:sz w:val="22"/>
          <w:szCs w:val="22"/>
        </w:rPr>
      </w:pPr>
    </w:p>
    <w:p w14:paraId="2727E4B9" w14:textId="77777777" w:rsidR="002F0381" w:rsidRPr="00A722E5" w:rsidRDefault="002F0381" w:rsidP="00A722E5">
      <w:pPr>
        <w:spacing w:line="276" w:lineRule="auto"/>
        <w:rPr>
          <w:sz w:val="22"/>
          <w:szCs w:val="22"/>
        </w:rPr>
      </w:pPr>
    </w:p>
    <w:p w14:paraId="4675016B" w14:textId="1E0D4A87" w:rsidR="00015332" w:rsidRPr="00A722E5" w:rsidRDefault="00AD370A" w:rsidP="00A722E5">
      <w:pPr>
        <w:pStyle w:val="Nagwek6"/>
        <w:spacing w:before="0" w:line="276" w:lineRule="auto"/>
        <w:rPr>
          <w:rFonts w:ascii="Times New Roman" w:hAnsi="Times New Roman" w:cs="Times New Roman"/>
          <w:sz w:val="22"/>
          <w:szCs w:val="22"/>
        </w:rPr>
      </w:pPr>
      <w:r>
        <w:rPr>
          <w:rFonts w:ascii="Times New Roman" w:hAnsi="Times New Roman" w:cs="Times New Roman"/>
          <w:sz w:val="22"/>
          <w:szCs w:val="22"/>
        </w:rPr>
        <w:br w:type="column"/>
      </w:r>
      <w:r w:rsidR="00015332" w:rsidRPr="00A722E5">
        <w:rPr>
          <w:rFonts w:ascii="Times New Roman" w:hAnsi="Times New Roman" w:cs="Times New Roman"/>
          <w:sz w:val="22"/>
          <w:szCs w:val="22"/>
        </w:rPr>
        <w:lastRenderedPageBreak/>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default" r:id="rId13"/>
      <w:footerReference w:type="default" r:id="rId14"/>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8515" w14:textId="77777777" w:rsidR="00AB0549" w:rsidRDefault="00AB0549" w:rsidP="008B08F2">
      <w:r>
        <w:separator/>
      </w:r>
    </w:p>
  </w:endnote>
  <w:endnote w:type="continuationSeparator" w:id="0">
    <w:p w14:paraId="7FF28B79" w14:textId="77777777" w:rsidR="00AB0549" w:rsidRDefault="00AB0549"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00000000" w:usb1="5200FDFF" w:usb2="0A042021"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8A30CD" w:rsidRPr="00DB50FF" w:rsidRDefault="008A30CD" w:rsidP="00DB50FF">
        <w:pPr>
          <w:widowControl w:val="0"/>
          <w:autoSpaceDE w:val="0"/>
          <w:autoSpaceDN w:val="0"/>
          <w:adjustRightInd w:val="0"/>
          <w:jc w:val="center"/>
          <w:rPr>
            <w:sz w:val="22"/>
            <w:szCs w:val="22"/>
          </w:rPr>
        </w:pPr>
      </w:p>
      <w:p w14:paraId="3B82CBB6" w14:textId="3BC8A18E" w:rsidR="008A30CD" w:rsidRPr="00C044D7" w:rsidRDefault="008A30CD" w:rsidP="00C044D7">
        <w:pPr>
          <w:pStyle w:val="Stopka"/>
          <w:pBdr>
            <w:top w:val="single" w:sz="4" w:space="1" w:color="A5A5A5" w:themeColor="background1" w:themeShade="A5"/>
          </w:pBdr>
          <w:rPr>
            <w:i/>
          </w:rPr>
        </w:pPr>
        <w:r w:rsidRPr="00C044D7">
          <w:rPr>
            <w:i/>
            <w:color w:val="000000" w:themeColor="text1"/>
          </w:rPr>
          <w:t xml:space="preserve">Nazwa zamówienia: </w:t>
        </w:r>
        <w:r w:rsidRPr="00C044D7">
          <w:rPr>
            <w:rFonts w:eastAsia="Calibri"/>
            <w:bCs/>
            <w:i/>
          </w:rPr>
          <w:t>„</w:t>
        </w:r>
        <w:r w:rsidRPr="00C044D7">
          <w:rPr>
            <w:i/>
          </w:rPr>
          <w:t>Przebudowa stacji uzdatniania wody w Górkach Noteckich oraz budowa oczyszczalni przydomowych</w:t>
        </w:r>
        <w:r w:rsidRPr="00C044D7">
          <w:rPr>
            <w:rFonts w:eastAsia="Calibri"/>
            <w:i/>
            <w:caps/>
          </w:rPr>
          <w:t>”</w:t>
        </w:r>
      </w:p>
      <w:p w14:paraId="23BDB4E0" w14:textId="77777777" w:rsidR="008A30CD" w:rsidRPr="00364ED2" w:rsidRDefault="008A30CD" w:rsidP="007843EE">
        <w:pPr>
          <w:pStyle w:val="Stopka"/>
          <w:pBdr>
            <w:top w:val="single" w:sz="4" w:space="1" w:color="A5A5A5" w:themeColor="background1" w:themeShade="A5"/>
          </w:pBdr>
          <w:rPr>
            <w:i/>
            <w:color w:val="000000" w:themeColor="text1"/>
          </w:rPr>
        </w:pPr>
      </w:p>
      <w:p w14:paraId="55253EFE" w14:textId="3F77D673" w:rsidR="008A30CD" w:rsidRPr="00364ED2" w:rsidRDefault="008A30CD"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sidR="003400C8">
          <w:rPr>
            <w:i/>
            <w:color w:val="000000" w:themeColor="text1"/>
          </w:rPr>
          <w:t>6</w:t>
        </w:r>
        <w:r>
          <w:rPr>
            <w:i/>
            <w:color w:val="000000" w:themeColor="text1"/>
          </w:rPr>
          <w:t>.2018</w:t>
        </w:r>
      </w:p>
      <w:p w14:paraId="467501D7" w14:textId="10EE88B1" w:rsidR="008A30CD" w:rsidRDefault="008A30CD"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3A1586">
          <w:rPr>
            <w:noProof/>
          </w:rPr>
          <w:t>15</w:t>
        </w:r>
        <w:r>
          <w:rPr>
            <w:noProof/>
          </w:rPr>
          <w:fldChar w:fldCharType="end"/>
        </w:r>
      </w:p>
    </w:sdtContent>
  </w:sdt>
  <w:p w14:paraId="467501D8" w14:textId="77777777" w:rsidR="008A30CD" w:rsidRDefault="008A3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2B36" w14:textId="77777777" w:rsidR="00AB0549" w:rsidRDefault="00AB0549" w:rsidP="008B08F2">
      <w:r>
        <w:separator/>
      </w:r>
    </w:p>
  </w:footnote>
  <w:footnote w:type="continuationSeparator" w:id="0">
    <w:p w14:paraId="29D79275" w14:textId="77777777" w:rsidR="00AB0549" w:rsidRDefault="00AB0549"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8A30CD" w:rsidRDefault="008A30CD">
    <w:pPr>
      <w:pStyle w:val="Nagwek"/>
    </w:pPr>
  </w:p>
  <w:p w14:paraId="3029C701" w14:textId="77777777" w:rsidR="008A30CD" w:rsidRDefault="008A3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332"/>
    <w:rsid w:val="00015332"/>
    <w:rsid w:val="000172D0"/>
    <w:rsid w:val="000251B0"/>
    <w:rsid w:val="00025654"/>
    <w:rsid w:val="00032614"/>
    <w:rsid w:val="00032D64"/>
    <w:rsid w:val="00041244"/>
    <w:rsid w:val="00047854"/>
    <w:rsid w:val="00057BF5"/>
    <w:rsid w:val="00064616"/>
    <w:rsid w:val="0007472D"/>
    <w:rsid w:val="000752E3"/>
    <w:rsid w:val="00077107"/>
    <w:rsid w:val="00081733"/>
    <w:rsid w:val="000B0A23"/>
    <w:rsid w:val="000D5C39"/>
    <w:rsid w:val="000E1377"/>
    <w:rsid w:val="000F66A0"/>
    <w:rsid w:val="000F7B9C"/>
    <w:rsid w:val="0010102A"/>
    <w:rsid w:val="0010276F"/>
    <w:rsid w:val="0011680A"/>
    <w:rsid w:val="001241B2"/>
    <w:rsid w:val="00124B04"/>
    <w:rsid w:val="00124D86"/>
    <w:rsid w:val="00137A3C"/>
    <w:rsid w:val="00156DF4"/>
    <w:rsid w:val="00171614"/>
    <w:rsid w:val="0018761F"/>
    <w:rsid w:val="001958FE"/>
    <w:rsid w:val="0019683F"/>
    <w:rsid w:val="001A3A5B"/>
    <w:rsid w:val="0021478A"/>
    <w:rsid w:val="00215D37"/>
    <w:rsid w:val="00230897"/>
    <w:rsid w:val="00235EF9"/>
    <w:rsid w:val="00253CCB"/>
    <w:rsid w:val="00280A83"/>
    <w:rsid w:val="00281F1E"/>
    <w:rsid w:val="002854EA"/>
    <w:rsid w:val="00287AA3"/>
    <w:rsid w:val="002A1874"/>
    <w:rsid w:val="002A1F89"/>
    <w:rsid w:val="002B074F"/>
    <w:rsid w:val="002B1C46"/>
    <w:rsid w:val="002B71C0"/>
    <w:rsid w:val="002C1F9E"/>
    <w:rsid w:val="002D1FCE"/>
    <w:rsid w:val="002D5EED"/>
    <w:rsid w:val="002D6D51"/>
    <w:rsid w:val="002F0381"/>
    <w:rsid w:val="00305785"/>
    <w:rsid w:val="0032107E"/>
    <w:rsid w:val="003272DA"/>
    <w:rsid w:val="003351C2"/>
    <w:rsid w:val="003400C8"/>
    <w:rsid w:val="00344BD6"/>
    <w:rsid w:val="00364ED2"/>
    <w:rsid w:val="0037526E"/>
    <w:rsid w:val="00375604"/>
    <w:rsid w:val="0038441B"/>
    <w:rsid w:val="003852D5"/>
    <w:rsid w:val="00385F4D"/>
    <w:rsid w:val="003908D4"/>
    <w:rsid w:val="00392185"/>
    <w:rsid w:val="003922E4"/>
    <w:rsid w:val="00397FAA"/>
    <w:rsid w:val="003A1586"/>
    <w:rsid w:val="003A1872"/>
    <w:rsid w:val="003E7C0F"/>
    <w:rsid w:val="003F2FBA"/>
    <w:rsid w:val="003F32D0"/>
    <w:rsid w:val="00431B5E"/>
    <w:rsid w:val="004532EF"/>
    <w:rsid w:val="00454B73"/>
    <w:rsid w:val="004711B3"/>
    <w:rsid w:val="004744D4"/>
    <w:rsid w:val="004847E7"/>
    <w:rsid w:val="0049502A"/>
    <w:rsid w:val="004A3CAD"/>
    <w:rsid w:val="004A6977"/>
    <w:rsid w:val="004C0AE2"/>
    <w:rsid w:val="004D648F"/>
    <w:rsid w:val="004D6DE5"/>
    <w:rsid w:val="004E4A0A"/>
    <w:rsid w:val="004F497B"/>
    <w:rsid w:val="00523750"/>
    <w:rsid w:val="00535CBC"/>
    <w:rsid w:val="00550443"/>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348F1"/>
    <w:rsid w:val="00644971"/>
    <w:rsid w:val="006473A0"/>
    <w:rsid w:val="00656BE8"/>
    <w:rsid w:val="006579B8"/>
    <w:rsid w:val="00667E74"/>
    <w:rsid w:val="00672040"/>
    <w:rsid w:val="006A45C6"/>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483B"/>
    <w:rsid w:val="007C22BE"/>
    <w:rsid w:val="007D44FA"/>
    <w:rsid w:val="007D7DA4"/>
    <w:rsid w:val="007E7BE6"/>
    <w:rsid w:val="0081001D"/>
    <w:rsid w:val="00825E5C"/>
    <w:rsid w:val="008323F4"/>
    <w:rsid w:val="00840D30"/>
    <w:rsid w:val="008A30CD"/>
    <w:rsid w:val="008B08F2"/>
    <w:rsid w:val="008C4BB6"/>
    <w:rsid w:val="008D7AD3"/>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E1FD3"/>
    <w:rsid w:val="00AE62E7"/>
    <w:rsid w:val="00AE7C27"/>
    <w:rsid w:val="00AF4CCD"/>
    <w:rsid w:val="00B00A5B"/>
    <w:rsid w:val="00B172A9"/>
    <w:rsid w:val="00B17882"/>
    <w:rsid w:val="00B43165"/>
    <w:rsid w:val="00B45407"/>
    <w:rsid w:val="00B45FAB"/>
    <w:rsid w:val="00B75082"/>
    <w:rsid w:val="00B84908"/>
    <w:rsid w:val="00B90F72"/>
    <w:rsid w:val="00B94344"/>
    <w:rsid w:val="00BA46B1"/>
    <w:rsid w:val="00BB07DA"/>
    <w:rsid w:val="00BD617B"/>
    <w:rsid w:val="00BE7DF8"/>
    <w:rsid w:val="00BF1BFD"/>
    <w:rsid w:val="00C044D7"/>
    <w:rsid w:val="00C072AA"/>
    <w:rsid w:val="00C1013D"/>
    <w:rsid w:val="00C65FB9"/>
    <w:rsid w:val="00C7611D"/>
    <w:rsid w:val="00C81CE0"/>
    <w:rsid w:val="00C8467F"/>
    <w:rsid w:val="00C91215"/>
    <w:rsid w:val="00CA776B"/>
    <w:rsid w:val="00CC55CE"/>
    <w:rsid w:val="00CC6E33"/>
    <w:rsid w:val="00D0618B"/>
    <w:rsid w:val="00D43BE9"/>
    <w:rsid w:val="00D679AF"/>
    <w:rsid w:val="00D83FFD"/>
    <w:rsid w:val="00D86655"/>
    <w:rsid w:val="00D96609"/>
    <w:rsid w:val="00DA7C6B"/>
    <w:rsid w:val="00DB2D2D"/>
    <w:rsid w:val="00DB3740"/>
    <w:rsid w:val="00DB50FF"/>
    <w:rsid w:val="00DB62D2"/>
    <w:rsid w:val="00DD04DC"/>
    <w:rsid w:val="00DD180A"/>
    <w:rsid w:val="00DD6225"/>
    <w:rsid w:val="00DE7FE2"/>
    <w:rsid w:val="00E125EB"/>
    <w:rsid w:val="00E14A77"/>
    <w:rsid w:val="00E154D4"/>
    <w:rsid w:val="00E35744"/>
    <w:rsid w:val="00E4086F"/>
    <w:rsid w:val="00E40D2A"/>
    <w:rsid w:val="00E523CB"/>
    <w:rsid w:val="00E74A32"/>
    <w:rsid w:val="00E75579"/>
    <w:rsid w:val="00E8408F"/>
    <w:rsid w:val="00EA2096"/>
    <w:rsid w:val="00EB08B8"/>
    <w:rsid w:val="00EB3FD5"/>
    <w:rsid w:val="00EC4512"/>
    <w:rsid w:val="00EE2EA8"/>
    <w:rsid w:val="00EF43DA"/>
    <w:rsid w:val="00EF5450"/>
    <w:rsid w:val="00F00475"/>
    <w:rsid w:val="00F01124"/>
    <w:rsid w:val="00F05285"/>
    <w:rsid w:val="00F07A70"/>
    <w:rsid w:val="00F10B49"/>
    <w:rsid w:val="00F3577B"/>
    <w:rsid w:val="00F572A6"/>
    <w:rsid w:val="00F639D3"/>
    <w:rsid w:val="00F80241"/>
    <w:rsid w:val="00F9467D"/>
    <w:rsid w:val="00F9775C"/>
    <w:rsid w:val="00FA4590"/>
    <w:rsid w:val="00FA4DB3"/>
    <w:rsid w:val="00FA5B45"/>
    <w:rsid w:val="00FA7BAA"/>
    <w:rsid w:val="00FA7DFE"/>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wrota.lubuskie.pl/ugzwierzy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FE526-1E41-4268-B832-55814BF9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25</Pages>
  <Words>7800</Words>
  <Characters>46803</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cp:keywords/>
  <dc:description/>
  <cp:lastModifiedBy>UG-MATEUSZ</cp:lastModifiedBy>
  <cp:revision>126</cp:revision>
  <cp:lastPrinted>2018-01-29T14:25:00Z</cp:lastPrinted>
  <dcterms:created xsi:type="dcterms:W3CDTF">2016-10-12T09:32:00Z</dcterms:created>
  <dcterms:modified xsi:type="dcterms:W3CDTF">2018-04-06T10:13:00Z</dcterms:modified>
</cp:coreProperties>
</file>