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tif" ContentType="image/tiff"/>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b/>
          <w:b/>
          <w:color w:val="FF0000"/>
          <w:sz w:val="22"/>
          <w:szCs w:val="22"/>
          <w:lang w:eastAsia="x-none"/>
        </w:rPr>
      </w:pPr>
      <w:r>
        <w:drawing>
          <wp:anchor behindDoc="0" distT="0" distB="0" distL="114300" distR="114300" simplePos="0" locked="0" layoutInCell="1" allowOverlap="1" relativeHeight="3">
            <wp:simplePos x="0" y="0"/>
            <wp:positionH relativeFrom="column">
              <wp:posOffset>4267200</wp:posOffset>
            </wp:positionH>
            <wp:positionV relativeFrom="paragraph">
              <wp:posOffset>-377825</wp:posOffset>
            </wp:positionV>
            <wp:extent cx="1552575" cy="781050"/>
            <wp:effectExtent l="0" t="0" r="0" b="0"/>
            <wp:wrapNone/>
            <wp:docPr id="1"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
                    <pic:cNvPicPr>
                      <a:picLocks noChangeAspect="1" noChangeArrowheads="1"/>
                    </pic:cNvPicPr>
                  </pic:nvPicPr>
                  <pic:blipFill>
                    <a:blip r:embed="rId2"/>
                    <a:stretch>
                      <a:fillRect/>
                    </a:stretch>
                  </pic:blipFill>
                  <pic:spPr bwMode="auto">
                    <a:xfrm>
                      <a:off x="0" y="0"/>
                      <a:ext cx="1552575" cy="781050"/>
                    </a:xfrm>
                    <a:prstGeom prst="rect">
                      <a:avLst/>
                    </a:prstGeom>
                  </pic:spPr>
                </pic:pic>
              </a:graphicData>
            </a:graphic>
          </wp:anchor>
        </w:drawing>
        <w:drawing>
          <wp:anchor behindDoc="0" distT="0" distB="0" distL="114300" distR="114300" simplePos="0" locked="0" layoutInCell="1" allowOverlap="1" relativeHeight="4">
            <wp:simplePos x="0" y="0"/>
            <wp:positionH relativeFrom="column">
              <wp:posOffset>-104775</wp:posOffset>
            </wp:positionH>
            <wp:positionV relativeFrom="paragraph">
              <wp:posOffset>-282575</wp:posOffset>
            </wp:positionV>
            <wp:extent cx="1619250" cy="523875"/>
            <wp:effectExtent l="0" t="0" r="0" b="0"/>
            <wp:wrapNone/>
            <wp:docPr id="2"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
                    <pic:cNvPicPr>
                      <a:picLocks noChangeAspect="1" noChangeArrowheads="1"/>
                    </pic:cNvPicPr>
                  </pic:nvPicPr>
                  <pic:blipFill>
                    <a:blip r:embed="rId3"/>
                    <a:stretch>
                      <a:fillRect/>
                    </a:stretch>
                  </pic:blipFill>
                  <pic:spPr bwMode="auto">
                    <a:xfrm>
                      <a:off x="0" y="0"/>
                      <a:ext cx="1619250" cy="523875"/>
                    </a:xfrm>
                    <a:prstGeom prst="rect">
                      <a:avLst/>
                    </a:prstGeom>
                  </pic:spPr>
                </pic:pic>
              </a:graphicData>
            </a:graphic>
          </wp:anchor>
        </w:drawing>
        <w:drawing>
          <wp:anchor behindDoc="0" distT="0" distB="0" distL="114300" distR="114300" simplePos="0" locked="0" layoutInCell="1" allowOverlap="1" relativeHeight="5">
            <wp:simplePos x="0" y="0"/>
            <wp:positionH relativeFrom="column">
              <wp:posOffset>2528570</wp:posOffset>
            </wp:positionH>
            <wp:positionV relativeFrom="paragraph">
              <wp:posOffset>-286385</wp:posOffset>
            </wp:positionV>
            <wp:extent cx="771525" cy="466725"/>
            <wp:effectExtent l="0" t="0" r="0" b="0"/>
            <wp:wrapNone/>
            <wp:docPr id="3" name="Obraz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2" descr=""/>
                    <pic:cNvPicPr>
                      <a:picLocks noChangeAspect="1" noChangeArrowheads="1"/>
                    </pic:cNvPicPr>
                  </pic:nvPicPr>
                  <pic:blipFill>
                    <a:blip r:embed="rId4"/>
                    <a:stretch>
                      <a:fillRect/>
                    </a:stretch>
                  </pic:blipFill>
                  <pic:spPr bwMode="auto">
                    <a:xfrm>
                      <a:off x="0" y="0"/>
                      <a:ext cx="771525" cy="466725"/>
                    </a:xfrm>
                    <a:prstGeom prst="rect">
                      <a:avLst/>
                    </a:prstGeom>
                  </pic:spPr>
                </pic:pic>
              </a:graphicData>
            </a:graphic>
          </wp:anchor>
        </w:drawing>
      </w:r>
      <w:r>
        <w:rPr>
          <w:b/>
          <w:color w:val="FF0000"/>
          <w:sz w:val="22"/>
          <w:szCs w:val="22"/>
          <w:lang w:eastAsia="x-none"/>
        </w:rPr>
        <w:tab/>
      </w:r>
      <w:r>
        <w:rPr>
          <w:b/>
          <w:color w:val="FF0000"/>
          <w:sz w:val="22"/>
          <w:szCs w:val="22"/>
          <w:lang w:eastAsia="x-none"/>
        </w:rPr>
        <w:t xml:space="preserve">     </w:t>
      </w:r>
    </w:p>
    <w:p>
      <w:pPr>
        <w:pStyle w:val="Normal"/>
        <w:spacing w:lineRule="auto" w:line="276"/>
        <w:jc w:val="both"/>
        <w:rPr>
          <w:b/>
          <w:b/>
          <w:color w:val="FF0000"/>
          <w:sz w:val="22"/>
          <w:szCs w:val="22"/>
          <w:lang w:eastAsia="x-none"/>
        </w:rPr>
      </w:pPr>
      <w:r>
        <w:rPr>
          <w:b/>
          <w:color w:val="FF0000"/>
          <w:sz w:val="22"/>
          <w:szCs w:val="22"/>
          <w:lang w:eastAsia="x-none"/>
        </w:rPr>
      </w:r>
    </w:p>
    <w:p>
      <w:pPr>
        <w:pStyle w:val="Normal"/>
        <w:spacing w:lineRule="auto" w:line="276"/>
        <w:jc w:val="center"/>
        <w:rPr>
          <w:i/>
          <w:i/>
          <w:sz w:val="56"/>
          <w:szCs w:val="56"/>
        </w:rPr>
      </w:pPr>
      <w:r>
        <w:rPr>
          <w:i/>
          <w:sz w:val="56"/>
          <w:szCs w:val="56"/>
        </w:rPr>
        <w:t>Gminny Ośrodek Kultury „Jutrzenka” w Zwierzynie</w:t>
      </w:r>
    </w:p>
    <w:p>
      <w:pPr>
        <w:pStyle w:val="Tretekstu"/>
        <w:pBdr>
          <w:bottom w:val="outset" w:sz="6" w:space="1" w:color="008000"/>
        </w:pBdr>
        <w:tabs>
          <w:tab w:val="right" w:pos="9687" w:leader="none"/>
        </w:tabs>
        <w:spacing w:lineRule="auto" w:line="276"/>
        <w:jc w:val="right"/>
        <w:rPr>
          <w:rFonts w:ascii="Times New Roman" w:hAnsi="Times New Roman" w:cs="Times New Roman"/>
          <w:bCs/>
          <w:sz w:val="22"/>
          <w:szCs w:val="22"/>
        </w:rPr>
      </w:pPr>
      <w:r>
        <w:rPr>
          <w:rFonts w:cs="Times New Roman" w:ascii="Times New Roman" w:hAnsi="Times New Roman"/>
          <w:bCs/>
          <w:sz w:val="22"/>
          <w:szCs w:val="22"/>
        </w:rPr>
        <w:t>66-542 Zwierzyn, ul. Wojska Polskiego 8</w:t>
      </w:r>
    </w:p>
    <w:p>
      <w:pPr>
        <w:pStyle w:val="Normal"/>
        <w:widowControl w:val="false"/>
        <w:spacing w:lineRule="auto" w:line="276"/>
        <w:rPr>
          <w:sz w:val="22"/>
          <w:szCs w:val="22"/>
        </w:rPr>
      </w:pPr>
      <w:r>
        <w:rPr>
          <w:sz w:val="22"/>
          <w:szCs w:val="22"/>
        </w:rPr>
        <w:t>numer sprawy: GOK.271.02.2018</w:t>
      </w:r>
    </w:p>
    <w:p>
      <w:pPr>
        <w:pStyle w:val="Normal"/>
        <w:widowControl w:val="false"/>
        <w:spacing w:lineRule="auto" w:line="276"/>
        <w:rPr>
          <w:sz w:val="22"/>
          <w:szCs w:val="22"/>
        </w:rPr>
      </w:pPr>
      <w:r>
        <w:rPr>
          <w:sz w:val="22"/>
          <w:szCs w:val="22"/>
        </w:rPr>
      </w:r>
    </w:p>
    <w:p>
      <w:pPr>
        <w:pStyle w:val="Normal"/>
        <w:widowControl w:val="false"/>
        <w:spacing w:lineRule="auto" w:line="276"/>
        <w:rPr>
          <w:sz w:val="22"/>
          <w:szCs w:val="22"/>
        </w:rPr>
      </w:pPr>
      <w:r>
        <w:rPr>
          <w:sz w:val="22"/>
          <w:szCs w:val="22"/>
        </w:rPr>
      </w:r>
    </w:p>
    <w:p>
      <w:pPr>
        <w:pStyle w:val="Normal"/>
        <w:widowControl w:val="false"/>
        <w:spacing w:lineRule="auto" w:line="276"/>
        <w:rPr>
          <w:sz w:val="22"/>
          <w:szCs w:val="22"/>
        </w:rPr>
      </w:pPr>
      <w:r>
        <w:rPr>
          <w:sz w:val="22"/>
          <w:szCs w:val="22"/>
        </w:rPr>
      </w:r>
    </w:p>
    <w:p>
      <w:pPr>
        <w:pStyle w:val="Normal"/>
        <w:widowControl w:val="false"/>
        <w:spacing w:lineRule="auto" w:line="276"/>
        <w:rPr>
          <w:sz w:val="22"/>
          <w:szCs w:val="22"/>
        </w:rPr>
      </w:pPr>
      <w:r>
        <w:rPr>
          <w:sz w:val="22"/>
          <w:szCs w:val="22"/>
        </w:rPr>
      </w:r>
    </w:p>
    <w:p>
      <w:pPr>
        <w:pStyle w:val="Normal"/>
        <w:widowControl w:val="false"/>
        <w:spacing w:lineRule="auto" w:line="276"/>
        <w:rPr>
          <w:sz w:val="22"/>
          <w:szCs w:val="22"/>
        </w:rPr>
      </w:pPr>
      <w:r>
        <w:rPr>
          <w:sz w:val="22"/>
          <w:szCs w:val="22"/>
        </w:rPr>
      </w:r>
    </w:p>
    <w:p>
      <w:pPr>
        <w:pStyle w:val="Normal"/>
        <w:widowControl w:val="false"/>
        <w:spacing w:lineRule="auto" w:line="276"/>
        <w:rPr>
          <w:sz w:val="22"/>
          <w:szCs w:val="22"/>
        </w:rPr>
      </w:pPr>
      <w:r>
        <w:rPr>
          <w:sz w:val="22"/>
          <w:szCs w:val="22"/>
        </w:rPr>
      </w:r>
    </w:p>
    <w:p>
      <w:pPr>
        <w:pStyle w:val="Normal"/>
        <w:widowControl w:val="false"/>
        <w:spacing w:lineRule="auto" w:line="276"/>
        <w:jc w:val="center"/>
        <w:rPr>
          <w:sz w:val="22"/>
          <w:szCs w:val="22"/>
        </w:rPr>
      </w:pPr>
      <w:r>
        <w:rPr>
          <w:sz w:val="22"/>
          <w:szCs w:val="22"/>
        </w:rPr>
        <w:t xml:space="preserve">SPECYFIKACJA ISTOTNYCH WARUNKÓW ZAMÓWIENIA </w:t>
      </w:r>
    </w:p>
    <w:p>
      <w:pPr>
        <w:pStyle w:val="Normal"/>
        <w:widowControl w:val="false"/>
        <w:spacing w:lineRule="auto" w:line="276"/>
        <w:rPr>
          <w:sz w:val="22"/>
          <w:szCs w:val="22"/>
        </w:rPr>
      </w:pPr>
      <w:r>
        <w:rPr>
          <w:sz w:val="22"/>
          <w:szCs w:val="22"/>
        </w:rPr>
      </w:r>
    </w:p>
    <w:p>
      <w:pPr>
        <w:pStyle w:val="Normal"/>
        <w:widowControl w:val="false"/>
        <w:spacing w:lineRule="auto" w:line="276"/>
        <w:rPr>
          <w:sz w:val="22"/>
          <w:szCs w:val="22"/>
        </w:rPr>
      </w:pPr>
      <w:r>
        <w:rPr>
          <w:sz w:val="22"/>
          <w:szCs w:val="22"/>
        </w:rPr>
      </w:r>
    </w:p>
    <w:p>
      <w:pPr>
        <w:pStyle w:val="Normal"/>
        <w:widowControl w:val="false"/>
        <w:spacing w:lineRule="auto" w:line="276"/>
        <w:jc w:val="center"/>
        <w:rPr/>
      </w:pPr>
      <w:r>
        <w:rPr>
          <w:rFonts w:eastAsia="Calibri"/>
          <w:b/>
          <w:bCs/>
          <w:sz w:val="22"/>
          <w:szCs w:val="22"/>
        </w:rPr>
        <w:t>„</w:t>
      </w:r>
      <w:bookmarkStart w:id="0" w:name="__DdeLink__2938_2729424328"/>
      <w:r>
        <w:rPr>
          <w:rFonts w:eastAsia="Calibri"/>
          <w:b/>
          <w:bCs/>
          <w:sz w:val="22"/>
          <w:szCs w:val="22"/>
        </w:rPr>
        <w:t>Propagowanie rybackiego dziedzictwa kulturowego poprzez remont i doposażenie Gminnego Ośrodka Kultury „Jutrzenka” w Zwierzynie</w:t>
      </w:r>
      <w:bookmarkEnd w:id="0"/>
      <w:r>
        <w:rPr>
          <w:rFonts w:eastAsia="Calibri"/>
          <w:b/>
          <w:bCs/>
          <w:sz w:val="22"/>
          <w:szCs w:val="22"/>
        </w:rPr>
        <w:t>”</w:t>
      </w:r>
    </w:p>
    <w:p>
      <w:pPr>
        <w:pStyle w:val="Normal"/>
        <w:widowControl w:val="false"/>
        <w:spacing w:lineRule="auto" w:line="276"/>
        <w:jc w:val="center"/>
        <w:rPr>
          <w:b/>
          <w:b/>
          <w:sz w:val="22"/>
          <w:szCs w:val="22"/>
        </w:rPr>
      </w:pPr>
      <w:r>
        <w:rPr>
          <w:b/>
          <w:sz w:val="22"/>
          <w:szCs w:val="22"/>
        </w:rPr>
      </w:r>
    </w:p>
    <w:p>
      <w:pPr>
        <w:pStyle w:val="Normal"/>
        <w:widowControl w:val="false"/>
        <w:spacing w:lineRule="auto" w:line="276"/>
        <w:rPr>
          <w:b/>
          <w:b/>
          <w:sz w:val="22"/>
          <w:szCs w:val="22"/>
        </w:rPr>
      </w:pPr>
      <w:r>
        <w:rPr>
          <w:b/>
          <w:sz w:val="22"/>
          <w:szCs w:val="22"/>
        </w:rPr>
      </w:r>
    </w:p>
    <w:p>
      <w:pPr>
        <w:pStyle w:val="Normal"/>
        <w:widowControl w:val="false"/>
        <w:tabs>
          <w:tab w:val="left" w:pos="3273" w:leader="none"/>
        </w:tabs>
        <w:spacing w:lineRule="auto" w:line="276"/>
        <w:rPr>
          <w:sz w:val="22"/>
          <w:szCs w:val="22"/>
        </w:rPr>
      </w:pPr>
      <w:r>
        <w:rPr>
          <w:sz w:val="22"/>
          <w:szCs w:val="22"/>
        </w:rPr>
        <w:tab/>
      </w:r>
    </w:p>
    <w:p>
      <w:pPr>
        <w:pStyle w:val="Normal"/>
        <w:widowControl w:val="false"/>
        <w:spacing w:lineRule="auto" w:line="276"/>
        <w:rPr>
          <w:sz w:val="22"/>
          <w:szCs w:val="22"/>
        </w:rPr>
      </w:pPr>
      <w:r>
        <w:rPr>
          <w:sz w:val="22"/>
          <w:szCs w:val="22"/>
        </w:rPr>
      </w:r>
    </w:p>
    <w:p>
      <w:pPr>
        <w:pStyle w:val="Normal"/>
        <w:widowControl w:val="false"/>
        <w:spacing w:lineRule="auto" w:line="276"/>
        <w:jc w:val="both"/>
        <w:rPr>
          <w:sz w:val="22"/>
          <w:szCs w:val="22"/>
        </w:rPr>
      </w:pPr>
      <w:r>
        <w:rPr>
          <w:sz w:val="22"/>
          <w:szCs w:val="22"/>
        </w:rPr>
      </w:r>
    </w:p>
    <w:p>
      <w:pPr>
        <w:pStyle w:val="Normal"/>
        <w:widowControl w:val="false"/>
        <w:tabs>
          <w:tab w:val="left" w:pos="9355" w:leader="none"/>
        </w:tabs>
        <w:spacing w:lineRule="auto" w:line="276"/>
        <w:ind w:right="-1" w:hanging="0"/>
        <w:jc w:val="center"/>
        <w:rPr>
          <w:sz w:val="22"/>
          <w:szCs w:val="22"/>
        </w:rPr>
      </w:pPr>
      <w:r>
        <w:rPr>
          <w:rFonts w:eastAsia="Calibri"/>
          <w:bCs/>
          <w:color w:val="000000"/>
          <w:sz w:val="22"/>
          <w:szCs w:val="22"/>
        </w:rPr>
        <w:t>Postępowanie o udzielenie zamówienia publicznego prowadzone jest w trybie przetargu nieograniczonego na podstawie art.10 ust.1 i 39 ustawy z dnia 29 stycznia 2004 roku – Prawo zamówień publicznych (</w:t>
      </w:r>
      <w:r>
        <w:rPr>
          <w:sz w:val="22"/>
          <w:szCs w:val="22"/>
        </w:rPr>
        <w:t>Dz. U. z 2017 r., poz. 1579)</w:t>
      </w:r>
    </w:p>
    <w:p>
      <w:pPr>
        <w:pStyle w:val="Normal"/>
        <w:widowControl w:val="false"/>
        <w:tabs>
          <w:tab w:val="left" w:pos="9355" w:leader="none"/>
        </w:tabs>
        <w:spacing w:lineRule="auto" w:line="276"/>
        <w:ind w:left="6480" w:right="-1" w:hanging="0"/>
        <w:rPr>
          <w:sz w:val="22"/>
          <w:szCs w:val="22"/>
        </w:rPr>
      </w:pPr>
      <w:r>
        <w:rPr>
          <w:sz w:val="22"/>
          <w:szCs w:val="22"/>
        </w:rPr>
      </w:r>
    </w:p>
    <w:p>
      <w:pPr>
        <w:pStyle w:val="Normal"/>
        <w:widowControl w:val="false"/>
        <w:tabs>
          <w:tab w:val="left" w:pos="9355" w:leader="none"/>
        </w:tabs>
        <w:spacing w:lineRule="auto" w:line="276"/>
        <w:ind w:left="6480" w:right="-1" w:hanging="0"/>
        <w:rPr>
          <w:sz w:val="22"/>
          <w:szCs w:val="22"/>
        </w:rPr>
      </w:pPr>
      <w:r>
        <w:rPr>
          <w:sz w:val="22"/>
          <w:szCs w:val="22"/>
        </w:rPr>
      </w:r>
    </w:p>
    <w:p>
      <w:pPr>
        <w:pStyle w:val="Normal"/>
        <w:widowControl w:val="false"/>
        <w:tabs>
          <w:tab w:val="left" w:pos="9355" w:leader="none"/>
        </w:tabs>
        <w:spacing w:lineRule="auto" w:line="276"/>
        <w:ind w:left="6480" w:right="-1" w:hanging="0"/>
        <w:rPr>
          <w:sz w:val="22"/>
          <w:szCs w:val="22"/>
        </w:rPr>
      </w:pPr>
      <w:r>
        <w:rPr>
          <w:sz w:val="22"/>
          <w:szCs w:val="22"/>
        </w:rPr>
      </w:r>
    </w:p>
    <w:p>
      <w:pPr>
        <w:pStyle w:val="Normal"/>
        <w:widowControl w:val="false"/>
        <w:tabs>
          <w:tab w:val="left" w:pos="9355" w:leader="none"/>
        </w:tabs>
        <w:spacing w:lineRule="auto" w:line="276"/>
        <w:ind w:left="6480" w:right="-1" w:hanging="0"/>
        <w:rPr>
          <w:sz w:val="22"/>
          <w:szCs w:val="22"/>
        </w:rPr>
      </w:pPr>
      <w:r>
        <w:rPr>
          <w:sz w:val="22"/>
          <w:szCs w:val="22"/>
        </w:rPr>
      </w:r>
    </w:p>
    <w:p>
      <w:pPr>
        <w:pStyle w:val="Normal"/>
        <w:widowControl w:val="false"/>
        <w:tabs>
          <w:tab w:val="left" w:pos="9355" w:leader="none"/>
        </w:tabs>
        <w:spacing w:lineRule="auto" w:line="276"/>
        <w:ind w:left="6480" w:right="-1" w:hanging="0"/>
        <w:rPr>
          <w:sz w:val="22"/>
          <w:szCs w:val="22"/>
        </w:rPr>
      </w:pPr>
      <w:r>
        <w:rPr>
          <w:sz w:val="22"/>
          <w:szCs w:val="22"/>
        </w:rPr>
      </w:r>
    </w:p>
    <w:p>
      <w:pPr>
        <w:pStyle w:val="Normal"/>
        <w:widowControl w:val="false"/>
        <w:tabs>
          <w:tab w:val="left" w:pos="9355" w:leader="none"/>
        </w:tabs>
        <w:spacing w:lineRule="auto" w:line="276"/>
        <w:ind w:left="6480" w:right="-1" w:hanging="0"/>
        <w:rPr>
          <w:sz w:val="22"/>
          <w:szCs w:val="22"/>
        </w:rPr>
      </w:pPr>
      <w:r>
        <w:rPr>
          <w:sz w:val="22"/>
          <w:szCs w:val="22"/>
        </w:rPr>
        <w:tab/>
        <w:tab/>
        <w:tab/>
      </w:r>
    </w:p>
    <w:p>
      <w:pPr>
        <w:pStyle w:val="Normal"/>
        <w:widowControl w:val="false"/>
        <w:tabs>
          <w:tab w:val="left" w:pos="9355" w:leader="none"/>
        </w:tabs>
        <w:spacing w:lineRule="auto" w:line="276"/>
        <w:ind w:left="6480" w:right="-1" w:hanging="0"/>
        <w:rPr>
          <w:sz w:val="22"/>
          <w:szCs w:val="22"/>
        </w:rPr>
      </w:pPr>
      <w:r>
        <w:rPr>
          <w:sz w:val="22"/>
          <w:szCs w:val="22"/>
        </w:rPr>
      </w:r>
    </w:p>
    <w:p>
      <w:pPr>
        <w:pStyle w:val="Normal"/>
        <w:widowControl w:val="false"/>
        <w:tabs>
          <w:tab w:val="left" w:pos="9355" w:leader="none"/>
        </w:tabs>
        <w:spacing w:lineRule="auto" w:line="276"/>
        <w:ind w:left="5954" w:right="-1" w:hanging="0"/>
        <w:rPr>
          <w:sz w:val="22"/>
          <w:szCs w:val="22"/>
        </w:rPr>
      </w:pPr>
      <w:r>
        <w:rPr>
          <w:sz w:val="22"/>
          <w:szCs w:val="22"/>
        </w:rPr>
        <w:t>Zatwierdził:</w:t>
      </w:r>
    </w:p>
    <w:p>
      <w:pPr>
        <w:pStyle w:val="Normal"/>
        <w:widowControl w:val="false"/>
        <w:tabs>
          <w:tab w:val="left" w:pos="9355" w:leader="none"/>
        </w:tabs>
        <w:spacing w:lineRule="auto" w:line="276"/>
        <w:ind w:left="5954" w:right="-1" w:hanging="0"/>
        <w:rPr>
          <w:sz w:val="22"/>
          <w:szCs w:val="22"/>
        </w:rPr>
      </w:pPr>
      <w:r>
        <w:rPr>
          <w:sz w:val="22"/>
          <w:szCs w:val="22"/>
        </w:rPr>
        <w:t>Dyrektor GOK Zwierzyn</w:t>
      </w:r>
    </w:p>
    <w:p>
      <w:pPr>
        <w:pStyle w:val="Normal"/>
        <w:spacing w:lineRule="auto" w:line="276"/>
        <w:jc w:val="center"/>
        <w:rPr>
          <w:sz w:val="22"/>
          <w:szCs w:val="22"/>
        </w:rPr>
      </w:pPr>
      <w:r>
        <w:rPr>
          <w:rFonts w:eastAsia="Calibri"/>
          <w:b/>
          <w:bCs/>
          <w:color w:val="000000"/>
          <w:sz w:val="22"/>
          <w:szCs w:val="22"/>
        </w:rPr>
        <w:tab/>
        <w:tab/>
        <w:tab/>
        <w:tab/>
        <w:tab/>
        <w:t xml:space="preserve">                         (-) Teresa Ostałowska</w:t>
      </w:r>
    </w:p>
    <w:p>
      <w:pPr>
        <w:pStyle w:val="Normal"/>
        <w:spacing w:lineRule="auto" w:line="276"/>
        <w:jc w:val="center"/>
        <w:rPr>
          <w:sz w:val="22"/>
          <w:szCs w:val="22"/>
        </w:rPr>
      </w:pPr>
      <w:r>
        <w:rPr>
          <w:sz w:val="22"/>
          <w:szCs w:val="22"/>
        </w:rPr>
      </w:r>
    </w:p>
    <w:p>
      <w:pPr>
        <w:pStyle w:val="Normal"/>
        <w:spacing w:lineRule="auto" w:line="276"/>
        <w:jc w:val="center"/>
        <w:rPr>
          <w:sz w:val="22"/>
          <w:szCs w:val="22"/>
        </w:rPr>
      </w:pPr>
      <w:r>
        <w:rPr>
          <w:sz w:val="22"/>
          <w:szCs w:val="22"/>
        </w:rPr>
      </w:r>
    </w:p>
    <w:p>
      <w:pPr>
        <w:pStyle w:val="Normal"/>
        <w:spacing w:lineRule="auto" w:line="276"/>
        <w:jc w:val="center"/>
        <w:rPr>
          <w:sz w:val="22"/>
          <w:szCs w:val="22"/>
        </w:rPr>
      </w:pPr>
      <w:r>
        <w:br w:type="column"/>
      </w:r>
      <w:r>
        <w:rPr>
          <w:sz w:val="22"/>
          <w:szCs w:val="22"/>
        </w:rPr>
      </w:r>
    </w:p>
    <w:p>
      <w:pPr>
        <w:pStyle w:val="Tytu"/>
        <w:tabs>
          <w:tab w:val="left" w:pos="5812" w:leader="none"/>
        </w:tabs>
        <w:spacing w:lineRule="auto" w:line="276"/>
        <w:rPr>
          <w:b/>
          <w:b/>
          <w:bCs/>
          <w:sz w:val="22"/>
          <w:szCs w:val="22"/>
        </w:rPr>
      </w:pPr>
      <w:r>
        <w:rPr>
          <w:b/>
          <w:bCs/>
          <w:sz w:val="22"/>
          <w:szCs w:val="22"/>
        </w:rPr>
        <w:t>Specyfikacja Istotnych Warunków Zamówienia zawiera:</w:t>
      </w:r>
    </w:p>
    <w:p>
      <w:pPr>
        <w:pStyle w:val="Normal"/>
        <w:spacing w:lineRule="auto" w:line="276"/>
        <w:jc w:val="center"/>
        <w:rPr>
          <w:sz w:val="22"/>
          <w:szCs w:val="22"/>
        </w:rPr>
      </w:pPr>
      <w:r>
        <w:rPr>
          <w:sz w:val="22"/>
          <w:szCs w:val="22"/>
        </w:rPr>
      </w:r>
    </w:p>
    <w:p>
      <w:pPr>
        <w:pStyle w:val="Normal"/>
        <w:spacing w:lineRule="auto" w:line="276"/>
        <w:jc w:val="center"/>
        <w:rPr>
          <w:sz w:val="22"/>
          <w:szCs w:val="22"/>
        </w:rPr>
      </w:pPr>
      <w:r>
        <w:rPr>
          <w:sz w:val="22"/>
          <w:szCs w:val="22"/>
        </w:rPr>
      </w:r>
    </w:p>
    <w:p>
      <w:pPr>
        <w:pStyle w:val="Normal"/>
        <w:spacing w:lineRule="auto" w:line="276"/>
        <w:ind w:left="1440" w:hanging="1440"/>
        <w:rPr>
          <w:b/>
          <w:b/>
          <w:bCs/>
          <w:sz w:val="22"/>
          <w:szCs w:val="22"/>
        </w:rPr>
      </w:pPr>
      <w:r>
        <w:rPr>
          <w:b/>
          <w:bCs/>
          <w:sz w:val="22"/>
          <w:szCs w:val="22"/>
        </w:rPr>
        <w:t>Tom I:</w:t>
        <w:tab/>
        <w:t>INSTRUKCJA DLA WYKONAWCÓW</w:t>
      </w:r>
    </w:p>
    <w:p>
      <w:pPr>
        <w:pStyle w:val="Normal"/>
        <w:spacing w:lineRule="auto" w:line="276"/>
        <w:rPr>
          <w:sz w:val="22"/>
          <w:szCs w:val="22"/>
        </w:rPr>
      </w:pPr>
      <w:r>
        <w:rPr>
          <w:sz w:val="22"/>
          <w:szCs w:val="22"/>
        </w:rPr>
      </w:r>
    </w:p>
    <w:p>
      <w:pPr>
        <w:pStyle w:val="Normal"/>
        <w:spacing w:lineRule="auto" w:line="276"/>
        <w:rPr>
          <w:b/>
          <w:b/>
          <w:bCs/>
          <w:sz w:val="22"/>
          <w:szCs w:val="22"/>
        </w:rPr>
      </w:pPr>
      <w:r>
        <w:rPr>
          <w:b/>
          <w:bCs/>
          <w:sz w:val="22"/>
          <w:szCs w:val="22"/>
        </w:rPr>
        <w:t>Rozdział 1</w:t>
        <w:tab/>
        <w:t>Instrukcja dla Wykonawców (IDW)</w:t>
      </w:r>
    </w:p>
    <w:p>
      <w:pPr>
        <w:pStyle w:val="Normal"/>
        <w:spacing w:lineRule="auto" w:line="276"/>
        <w:rPr>
          <w:b/>
          <w:b/>
          <w:bCs/>
          <w:sz w:val="22"/>
          <w:szCs w:val="22"/>
        </w:rPr>
      </w:pPr>
      <w:r>
        <w:rPr>
          <w:b/>
          <w:bCs/>
          <w:sz w:val="22"/>
          <w:szCs w:val="22"/>
        </w:rPr>
      </w:r>
    </w:p>
    <w:p>
      <w:pPr>
        <w:pStyle w:val="Normal"/>
        <w:spacing w:lineRule="auto" w:line="276" w:before="0" w:afterAutospacing="1"/>
        <w:rPr>
          <w:b/>
          <w:b/>
          <w:bCs/>
          <w:sz w:val="22"/>
          <w:szCs w:val="22"/>
        </w:rPr>
      </w:pPr>
      <w:r>
        <w:rPr>
          <w:b/>
          <w:bCs/>
          <w:sz w:val="22"/>
          <w:szCs w:val="22"/>
        </w:rPr>
        <w:t>Rozdział 2</w:t>
        <w:tab/>
        <w:t>Załączniki</w:t>
      </w:r>
    </w:p>
    <w:p>
      <w:pPr>
        <w:pStyle w:val="Normal"/>
        <w:spacing w:lineRule="auto" w:line="276" w:before="0" w:afterAutospacing="1"/>
        <w:rPr>
          <w:b/>
          <w:b/>
          <w:bCs/>
          <w:sz w:val="22"/>
          <w:szCs w:val="22"/>
        </w:rPr>
      </w:pPr>
      <w:r>
        <w:rPr>
          <w:b/>
          <w:bCs/>
          <w:sz w:val="22"/>
          <w:szCs w:val="22"/>
        </w:rPr>
        <w:t xml:space="preserve">                        </w:t>
      </w:r>
      <w:r>
        <w:rPr>
          <w:b/>
          <w:bCs/>
          <w:sz w:val="22"/>
          <w:szCs w:val="22"/>
        </w:rPr>
        <w:tab/>
      </w:r>
      <w:r>
        <w:rPr>
          <w:bCs/>
          <w:sz w:val="22"/>
          <w:szCs w:val="22"/>
        </w:rPr>
        <w:t xml:space="preserve">Załącznik 1               </w:t>
        <w:tab/>
        <w:t>Formularz oferty</w:t>
      </w:r>
    </w:p>
    <w:p>
      <w:pPr>
        <w:pStyle w:val="Normal"/>
        <w:spacing w:lineRule="auto" w:line="276" w:before="120" w:after="0"/>
        <w:ind w:left="3540" w:hanging="2100"/>
        <w:jc w:val="both"/>
        <w:rPr>
          <w:sz w:val="22"/>
          <w:szCs w:val="22"/>
        </w:rPr>
      </w:pPr>
      <w:r>
        <w:rPr>
          <w:sz w:val="22"/>
          <w:szCs w:val="22"/>
        </w:rPr>
        <w:t>Załącznik 2</w:t>
        <w:tab/>
        <w:t xml:space="preserve">Wzór oświadczenia Wykonawcy o spełnianiu warunków udziału w postępowaniu </w:t>
      </w:r>
    </w:p>
    <w:p>
      <w:pPr>
        <w:pStyle w:val="Normal"/>
        <w:spacing w:lineRule="auto" w:line="276" w:before="120" w:after="0"/>
        <w:ind w:left="3540" w:hanging="2100"/>
        <w:jc w:val="both"/>
        <w:rPr>
          <w:sz w:val="22"/>
          <w:szCs w:val="22"/>
        </w:rPr>
      </w:pPr>
      <w:r>
        <w:rPr>
          <w:sz w:val="22"/>
          <w:szCs w:val="22"/>
        </w:rPr>
        <w:t>Załącznik 3</w:t>
        <w:tab/>
        <w:t>Wzór oświadczenia Wykonawcy o braku podstaw do wykluczenia z postępowania</w:t>
      </w:r>
    </w:p>
    <w:p>
      <w:pPr>
        <w:pStyle w:val="Normal"/>
        <w:tabs>
          <w:tab w:val="left" w:pos="2410" w:leader="none"/>
        </w:tabs>
        <w:spacing w:lineRule="auto" w:line="276" w:before="120" w:after="0"/>
        <w:ind w:left="3540" w:hanging="2100"/>
        <w:jc w:val="both"/>
        <w:rPr>
          <w:sz w:val="22"/>
          <w:szCs w:val="22"/>
        </w:rPr>
      </w:pPr>
      <w:r>
        <w:rPr>
          <w:sz w:val="22"/>
          <w:szCs w:val="22"/>
        </w:rPr>
        <w:t xml:space="preserve">Załącznik 4     </w:t>
        <w:tab/>
        <w:t>Wykaz robót budowlanych</w:t>
      </w:r>
    </w:p>
    <w:p>
      <w:pPr>
        <w:pStyle w:val="Normal"/>
        <w:spacing w:lineRule="auto" w:line="276" w:before="120" w:after="0"/>
        <w:ind w:left="3062" w:hanging="1622"/>
        <w:jc w:val="both"/>
        <w:rPr>
          <w:sz w:val="22"/>
          <w:szCs w:val="22"/>
        </w:rPr>
      </w:pPr>
      <w:r>
        <w:rPr>
          <w:sz w:val="22"/>
          <w:szCs w:val="22"/>
        </w:rPr>
        <w:t>Załącznik 5</w:t>
        <w:tab/>
        <w:tab/>
        <w:t>Formularz Grupa kapitałowa</w:t>
      </w:r>
    </w:p>
    <w:p>
      <w:pPr>
        <w:pStyle w:val="Normal"/>
        <w:spacing w:lineRule="auto" w:line="276" w:before="120" w:after="0"/>
        <w:ind w:left="3540" w:hanging="2100"/>
        <w:jc w:val="both"/>
        <w:rPr>
          <w:rFonts w:eastAsia="Lucida Sans Unicode"/>
          <w:kern w:val="2"/>
          <w:sz w:val="22"/>
          <w:szCs w:val="22"/>
        </w:rPr>
      </w:pPr>
      <w:r>
        <w:rPr>
          <w:sz w:val="22"/>
          <w:szCs w:val="22"/>
        </w:rPr>
        <w:t>Załącznik 6</w:t>
        <w:tab/>
        <w:t xml:space="preserve">Przedmiary robót – część remontowa, które </w:t>
      </w:r>
      <w:r>
        <w:rPr>
          <w:rFonts w:eastAsia="Lucida Sans Unicode"/>
          <w:kern w:val="2"/>
          <w:sz w:val="22"/>
          <w:szCs w:val="22"/>
        </w:rPr>
        <w:t>mają wyłącznie charakter pomocniczy do obliczenia ceny.</w:t>
      </w:r>
    </w:p>
    <w:p>
      <w:pPr>
        <w:pStyle w:val="Normal"/>
        <w:spacing w:lineRule="auto" w:line="276" w:before="120" w:after="0"/>
        <w:ind w:left="3540" w:hanging="2100"/>
        <w:jc w:val="both"/>
        <w:rPr>
          <w:sz w:val="22"/>
          <w:szCs w:val="22"/>
        </w:rPr>
      </w:pPr>
      <w:r>
        <w:rPr>
          <w:sz w:val="22"/>
          <w:szCs w:val="22"/>
        </w:rPr>
        <w:t>Załącznik 7</w:t>
        <w:tab/>
        <w:t>Zobowiązanie do oddania do dyspozycji Wykonawcy niezbędnych zasobów na okres korzystania z nich przy wykonywaniu zamówienia</w:t>
      </w:r>
    </w:p>
    <w:p>
      <w:pPr>
        <w:pStyle w:val="Normal"/>
        <w:spacing w:lineRule="auto" w:line="276" w:before="120" w:after="0"/>
        <w:ind w:left="3540" w:hanging="2100"/>
        <w:jc w:val="both"/>
        <w:rPr>
          <w:sz w:val="22"/>
          <w:szCs w:val="22"/>
        </w:rPr>
      </w:pPr>
      <w:r>
        <w:rPr>
          <w:sz w:val="22"/>
          <w:szCs w:val="22"/>
        </w:rPr>
        <w:t xml:space="preserve">Załącznik 8 </w:t>
        <w:tab/>
        <w:t>Projekt zgłoszenia robót oraz specyfikacje techniczne</w:t>
      </w:r>
    </w:p>
    <w:p>
      <w:pPr>
        <w:pStyle w:val="Normal"/>
        <w:spacing w:lineRule="auto" w:line="276" w:before="120" w:after="0"/>
        <w:ind w:left="3540" w:hanging="2100"/>
        <w:jc w:val="both"/>
        <w:rPr>
          <w:sz w:val="22"/>
          <w:szCs w:val="22"/>
        </w:rPr>
      </w:pPr>
      <w:r>
        <w:rPr>
          <w:sz w:val="22"/>
          <w:szCs w:val="22"/>
        </w:rPr>
      </w:r>
      <w:bookmarkStart w:id="1" w:name="_GoBack"/>
      <w:bookmarkStart w:id="2" w:name="_GoBack"/>
      <w:bookmarkEnd w:id="2"/>
    </w:p>
    <w:p>
      <w:pPr>
        <w:pStyle w:val="Normal"/>
        <w:spacing w:lineRule="auto" w:line="276"/>
        <w:rPr>
          <w:sz w:val="22"/>
          <w:szCs w:val="22"/>
        </w:rPr>
      </w:pPr>
      <w:r>
        <w:rPr>
          <w:sz w:val="22"/>
          <w:szCs w:val="22"/>
        </w:rPr>
      </w:r>
    </w:p>
    <w:p>
      <w:pPr>
        <w:pStyle w:val="Normal"/>
        <w:spacing w:lineRule="auto" w:line="276"/>
        <w:ind w:left="1418" w:hanging="1418"/>
        <w:jc w:val="both"/>
        <w:rPr>
          <w:b/>
          <w:b/>
          <w:bCs/>
          <w:sz w:val="22"/>
          <w:szCs w:val="22"/>
        </w:rPr>
      </w:pPr>
      <w:r>
        <w:rPr>
          <w:b/>
          <w:bCs/>
          <w:sz w:val="22"/>
          <w:szCs w:val="22"/>
        </w:rPr>
        <w:t>Tom II:</w:t>
        <w:tab/>
      </w:r>
      <w:r>
        <w:rPr>
          <w:rStyle w:val="Tekstdokbold"/>
          <w:bCs w:val="false"/>
          <w:sz w:val="22"/>
          <w:szCs w:val="22"/>
        </w:rPr>
        <w:t>WZÓR UMOWY</w:t>
      </w:r>
    </w:p>
    <w:p>
      <w:pPr>
        <w:pStyle w:val="Normal"/>
        <w:spacing w:lineRule="auto" w:line="276"/>
        <w:rPr>
          <w:sz w:val="22"/>
          <w:szCs w:val="22"/>
        </w:rPr>
      </w:pPr>
      <w:r>
        <w:rPr>
          <w:sz w:val="22"/>
          <w:szCs w:val="22"/>
        </w:rPr>
      </w:r>
    </w:p>
    <w:p>
      <w:pPr>
        <w:pStyle w:val="Tretekstu"/>
        <w:spacing w:lineRule="auto" w:line="276"/>
        <w:ind w:right="23" w:hanging="1"/>
        <w:jc w:val="center"/>
        <w:rPr>
          <w:rFonts w:ascii="Times New Roman" w:hAnsi="Times New Roman" w:cs="Times New Roman"/>
          <w:b/>
          <w:b/>
          <w:bCs/>
          <w:sz w:val="22"/>
          <w:szCs w:val="22"/>
        </w:rPr>
      </w:pPr>
      <w:r>
        <w:rPr>
          <w:rFonts w:cs="Times New Roman" w:ascii="Times New Roman" w:hAnsi="Times New Roman"/>
          <w:b/>
          <w:bCs/>
          <w:sz w:val="22"/>
          <w:szCs w:val="22"/>
        </w:rPr>
      </w:r>
    </w:p>
    <w:p>
      <w:pPr>
        <w:pStyle w:val="Tretekstu"/>
        <w:spacing w:lineRule="auto" w:line="276"/>
        <w:ind w:right="-427" w:hanging="0"/>
        <w:jc w:val="center"/>
        <w:rPr>
          <w:rFonts w:ascii="Times New Roman" w:hAnsi="Times New Roman" w:cs="Times New Roman"/>
          <w:sz w:val="22"/>
          <w:szCs w:val="22"/>
        </w:rPr>
      </w:pPr>
      <w:r>
        <w:rPr>
          <w:rFonts w:cs="Times New Roman" w:ascii="Times New Roman" w:hAnsi="Times New Roman"/>
          <w:sz w:val="22"/>
          <w:szCs w:val="22"/>
        </w:rPr>
      </w:r>
    </w:p>
    <w:p>
      <w:pPr>
        <w:pStyle w:val="Normal"/>
        <w:rPr/>
      </w:pPr>
      <w:r>
        <w:rPr/>
      </w:r>
    </w:p>
    <w:p>
      <w:pPr>
        <w:pStyle w:val="Normal"/>
        <w:rPr/>
      </w:pPr>
      <w:r>
        <w:rPr/>
      </w:r>
    </w:p>
    <w:p>
      <w:pPr>
        <w:pStyle w:val="Normal"/>
        <w:rPr/>
      </w:pPr>
      <w:r>
        <w:rPr/>
      </w:r>
    </w:p>
    <w:p>
      <w:pPr>
        <w:pStyle w:val="Tretekstu"/>
        <w:spacing w:lineRule="auto" w:line="276"/>
        <w:ind w:right="-427" w:hanging="0"/>
        <w:jc w:val="center"/>
        <w:rPr/>
      </w:pPr>
      <w:r>
        <w:rPr/>
      </w:r>
    </w:p>
    <w:p>
      <w:pPr>
        <w:pStyle w:val="Tretekstu"/>
        <w:tabs>
          <w:tab w:val="left" w:pos="2917" w:leader="none"/>
        </w:tabs>
        <w:spacing w:lineRule="auto" w:line="276"/>
        <w:ind w:right="-427" w:hanging="0"/>
        <w:rPr/>
      </w:pPr>
      <w:r>
        <w:rPr/>
        <w:tab/>
      </w:r>
      <w:r>
        <w:br w:type="page"/>
      </w:r>
    </w:p>
    <w:p>
      <w:pPr>
        <w:pStyle w:val="Tretekstu"/>
        <w:spacing w:lineRule="auto" w:line="276"/>
        <w:ind w:right="-427" w:hanging="0"/>
        <w:jc w:val="center"/>
        <w:rPr>
          <w:rFonts w:ascii="Times New Roman" w:hAnsi="Times New Roman" w:cs="Times New Roman"/>
          <w:b/>
          <w:b/>
          <w:bCs/>
          <w:sz w:val="22"/>
          <w:szCs w:val="22"/>
        </w:rPr>
      </w:pPr>
      <w:r>
        <w:rPr>
          <w:rFonts w:cs="Times New Roman" w:ascii="Times New Roman" w:hAnsi="Times New Roman"/>
          <w:b/>
          <w:bCs/>
          <w:sz w:val="22"/>
          <w:szCs w:val="22"/>
        </w:rPr>
        <w:t>Tom I INSTRUKCJA DLA WYKONAWCÓW</w:t>
      </w:r>
    </w:p>
    <w:p>
      <w:pPr>
        <w:pStyle w:val="Tretekstu"/>
        <w:spacing w:lineRule="auto" w:line="276"/>
        <w:ind w:right="-427" w:hanging="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Tretekstu"/>
        <w:spacing w:lineRule="auto" w:line="276"/>
        <w:ind w:right="-427" w:hanging="0"/>
        <w:jc w:val="center"/>
        <w:rPr>
          <w:rFonts w:ascii="Times New Roman" w:hAnsi="Times New Roman" w:cs="Times New Roman"/>
          <w:b/>
          <w:b/>
          <w:bCs/>
          <w:sz w:val="22"/>
          <w:szCs w:val="22"/>
        </w:rPr>
      </w:pPr>
      <w:r>
        <w:rPr>
          <w:rFonts w:cs="Times New Roman" w:ascii="Times New Roman" w:hAnsi="Times New Roman"/>
          <w:b/>
          <w:bCs/>
          <w:sz w:val="22"/>
          <w:szCs w:val="22"/>
        </w:rPr>
        <w:t>Rozdział 1</w:t>
      </w:r>
    </w:p>
    <w:p>
      <w:pPr>
        <w:pStyle w:val="Tretekstu"/>
        <w:spacing w:lineRule="auto" w:line="276"/>
        <w:ind w:right="-427" w:hanging="0"/>
        <w:jc w:val="center"/>
        <w:rPr>
          <w:rFonts w:ascii="Times New Roman" w:hAnsi="Times New Roman" w:cs="Times New Roman"/>
          <w:b/>
          <w:b/>
          <w:bCs/>
          <w:sz w:val="22"/>
          <w:szCs w:val="22"/>
        </w:rPr>
      </w:pPr>
      <w:r>
        <w:rPr>
          <w:rFonts w:cs="Times New Roman" w:ascii="Times New Roman" w:hAnsi="Times New Roman"/>
          <w:b/>
          <w:bCs/>
          <w:sz w:val="22"/>
          <w:szCs w:val="22"/>
        </w:rPr>
        <w:t>Instrukcja dla Wykonawców (IDW)</w:t>
      </w:r>
    </w:p>
    <w:p>
      <w:pPr>
        <w:pStyle w:val="Normal"/>
        <w:spacing w:lineRule="auto" w:line="276"/>
        <w:jc w:val="center"/>
        <w:rPr>
          <w:sz w:val="22"/>
          <w:szCs w:val="22"/>
        </w:rPr>
      </w:pPr>
      <w:r>
        <w:rPr>
          <w:sz w:val="22"/>
          <w:szCs w:val="22"/>
        </w:rPr>
      </w:r>
    </w:p>
    <w:p>
      <w:pPr>
        <w:pStyle w:val="Tretekstu"/>
        <w:numPr>
          <w:ilvl w:val="0"/>
          <w:numId w:val="13"/>
        </w:numPr>
        <w:tabs>
          <w:tab w:val="left" w:pos="709" w:leader="none"/>
        </w:tabs>
        <w:spacing w:lineRule="auto" w:line="276"/>
        <w:rPr>
          <w:rFonts w:ascii="Times New Roman" w:hAnsi="Times New Roman" w:cs="Times New Roman"/>
          <w:b/>
          <w:b/>
          <w:bCs/>
          <w:sz w:val="22"/>
          <w:szCs w:val="22"/>
        </w:rPr>
      </w:pPr>
      <w:r>
        <w:rPr>
          <w:rFonts w:cs="Times New Roman" w:ascii="Times New Roman" w:hAnsi="Times New Roman"/>
          <w:b/>
          <w:bCs/>
          <w:sz w:val="22"/>
          <w:szCs w:val="22"/>
        </w:rPr>
        <w:t>ZAMAWIAJĄCY</w:t>
      </w:r>
    </w:p>
    <w:p>
      <w:pPr>
        <w:pStyle w:val="Tretekstu"/>
        <w:tabs>
          <w:tab w:val="left" w:pos="709" w:leader="none"/>
        </w:tabs>
        <w:spacing w:lineRule="auto" w:line="276"/>
        <w:ind w:left="1065" w:hanging="0"/>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val="false"/>
        <w:spacing w:lineRule="auto" w:line="276"/>
        <w:ind w:firstLine="720"/>
        <w:rPr>
          <w:color w:val="000000"/>
          <w:sz w:val="22"/>
          <w:szCs w:val="22"/>
        </w:rPr>
      </w:pPr>
      <w:r>
        <w:rPr>
          <w:color w:val="000000"/>
          <w:sz w:val="22"/>
          <w:szCs w:val="22"/>
        </w:rPr>
        <w:t>Gminny Ośrodek Kultury „Jutrzenka”</w:t>
      </w:r>
    </w:p>
    <w:p>
      <w:pPr>
        <w:pStyle w:val="Normal"/>
        <w:widowControl w:val="false"/>
        <w:spacing w:lineRule="auto" w:line="276"/>
        <w:ind w:firstLine="720"/>
        <w:rPr>
          <w:color w:val="000000"/>
          <w:sz w:val="22"/>
          <w:szCs w:val="22"/>
        </w:rPr>
      </w:pPr>
      <w:r>
        <w:rPr>
          <w:color w:val="000000"/>
          <w:sz w:val="22"/>
          <w:szCs w:val="22"/>
          <w:highlight w:val="white"/>
        </w:rPr>
        <w:t xml:space="preserve">ul. Wojska Polskiego </w:t>
      </w:r>
      <w:r>
        <w:rPr>
          <w:color w:val="000000"/>
          <w:sz w:val="22"/>
          <w:szCs w:val="22"/>
        </w:rPr>
        <w:t>6</w:t>
      </w:r>
    </w:p>
    <w:p>
      <w:pPr>
        <w:pStyle w:val="Normal"/>
        <w:widowControl w:val="false"/>
        <w:spacing w:lineRule="auto" w:line="276"/>
        <w:ind w:firstLine="720"/>
        <w:rPr>
          <w:color w:val="000000"/>
          <w:sz w:val="22"/>
          <w:szCs w:val="22"/>
        </w:rPr>
      </w:pPr>
      <w:r>
        <w:rPr>
          <w:color w:val="000000"/>
          <w:sz w:val="22"/>
          <w:szCs w:val="22"/>
          <w:highlight w:val="white"/>
        </w:rPr>
        <w:t>66-542</w:t>
      </w:r>
      <w:r>
        <w:rPr>
          <w:color w:val="000000"/>
          <w:sz w:val="22"/>
          <w:szCs w:val="22"/>
        </w:rPr>
        <w:t xml:space="preserve"> </w:t>
      </w:r>
      <w:r>
        <w:rPr>
          <w:color w:val="000000"/>
          <w:sz w:val="22"/>
          <w:szCs w:val="22"/>
          <w:highlight w:val="white"/>
        </w:rPr>
        <w:t>Zwierzyn</w:t>
      </w:r>
    </w:p>
    <w:p>
      <w:pPr>
        <w:pStyle w:val="Normal"/>
        <w:widowControl w:val="false"/>
        <w:spacing w:lineRule="auto" w:line="276"/>
        <w:ind w:firstLine="720"/>
        <w:rPr>
          <w:color w:val="000000"/>
          <w:sz w:val="22"/>
          <w:szCs w:val="22"/>
        </w:rPr>
      </w:pPr>
      <w:r>
        <w:rPr>
          <w:color w:val="000000"/>
          <w:sz w:val="22"/>
          <w:szCs w:val="22"/>
        </w:rPr>
        <w:t>NIP:</w:t>
        <w:tab/>
        <w:tab/>
        <w:tab/>
        <w:t>599-10-09-794</w:t>
      </w:r>
    </w:p>
    <w:p>
      <w:pPr>
        <w:pStyle w:val="Normal"/>
        <w:widowControl w:val="false"/>
        <w:spacing w:lineRule="auto" w:line="276"/>
        <w:ind w:firstLine="720"/>
        <w:rPr>
          <w:color w:val="000000"/>
          <w:sz w:val="22"/>
          <w:szCs w:val="22"/>
        </w:rPr>
      </w:pPr>
      <w:r>
        <w:rPr>
          <w:color w:val="000000"/>
          <w:sz w:val="22"/>
          <w:szCs w:val="22"/>
        </w:rPr>
        <w:t>REGON:</w:t>
        <w:tab/>
        <w:tab/>
        <w:t>21000243300000</w:t>
      </w:r>
    </w:p>
    <w:p>
      <w:pPr>
        <w:pStyle w:val="Normal"/>
        <w:widowControl w:val="false"/>
        <w:spacing w:lineRule="auto" w:line="276"/>
        <w:ind w:firstLine="720"/>
        <w:rPr/>
      </w:pPr>
      <w:r>
        <w:rPr>
          <w:color w:val="000000"/>
          <w:sz w:val="22"/>
          <w:szCs w:val="22"/>
          <w:highlight w:val="white"/>
        </w:rPr>
        <w:t xml:space="preserve">Strona WWW: </w:t>
        <w:tab/>
        <w:tab/>
      </w:r>
      <w:hyperlink r:id="rId5">
        <w:r>
          <w:rPr>
            <w:rStyle w:val="Czeinternetowe"/>
            <w:sz w:val="22"/>
            <w:szCs w:val="22"/>
            <w:highlight w:val="white"/>
          </w:rPr>
          <w:t>www.bip.wrota.lubuskie.pl/ugzwierzyn</w:t>
        </w:r>
      </w:hyperlink>
      <w:r>
        <w:rPr>
          <w:color w:val="000000"/>
          <w:sz w:val="22"/>
          <w:szCs w:val="22"/>
        </w:rPr>
        <w:t xml:space="preserve"> </w:t>
      </w:r>
    </w:p>
    <w:p>
      <w:pPr>
        <w:pStyle w:val="Normal"/>
        <w:widowControl w:val="false"/>
        <w:spacing w:lineRule="auto" w:line="276"/>
        <w:ind w:firstLine="720"/>
        <w:rPr>
          <w:sz w:val="22"/>
          <w:szCs w:val="22"/>
          <w:lang w:val="de-DE"/>
        </w:rPr>
      </w:pPr>
      <w:r>
        <w:rPr>
          <w:sz w:val="22"/>
          <w:szCs w:val="22"/>
          <w:highlight w:val="white"/>
          <w:lang w:val="de-DE"/>
        </w:rPr>
        <w:t xml:space="preserve">E-mail: </w:t>
        <w:tab/>
        <w:tab/>
        <w:t>gok.zwierzyn@wp.pl</w:t>
      </w:r>
      <w:r>
        <w:rPr>
          <w:sz w:val="22"/>
          <w:szCs w:val="22"/>
          <w:lang w:val="de-DE"/>
        </w:rPr>
        <w:t xml:space="preserve"> </w:t>
      </w:r>
    </w:p>
    <w:p>
      <w:pPr>
        <w:pStyle w:val="Normal"/>
        <w:widowControl w:val="false"/>
        <w:spacing w:lineRule="auto" w:line="276"/>
        <w:ind w:firstLine="720"/>
        <w:rPr>
          <w:sz w:val="22"/>
          <w:szCs w:val="22"/>
        </w:rPr>
      </w:pPr>
      <w:r>
        <w:rPr>
          <w:sz w:val="22"/>
          <w:szCs w:val="22"/>
          <w:highlight w:val="white"/>
        </w:rPr>
        <w:t xml:space="preserve">Godziny urzędowania: Poniedziałek – Piątek godziny 8:00 ÷ </w:t>
      </w:r>
      <w:r>
        <w:rPr>
          <w:sz w:val="22"/>
          <w:szCs w:val="22"/>
        </w:rPr>
        <w:t>15:30</w:t>
      </w:r>
    </w:p>
    <w:p>
      <w:pPr>
        <w:pStyle w:val="Normal"/>
        <w:spacing w:lineRule="auto" w:line="276"/>
        <w:ind w:left="720" w:hanging="0"/>
        <w:jc w:val="both"/>
        <w:rPr>
          <w:b/>
          <w:b/>
          <w:sz w:val="22"/>
          <w:szCs w:val="22"/>
        </w:rPr>
      </w:pPr>
      <w:r>
        <w:rPr>
          <w:b/>
          <w:sz w:val="22"/>
          <w:szCs w:val="22"/>
        </w:rPr>
      </w:r>
    </w:p>
    <w:p>
      <w:pPr>
        <w:pStyle w:val="Tretekstu"/>
        <w:spacing w:lineRule="auto" w:line="276"/>
        <w:rPr>
          <w:rFonts w:ascii="Times New Roman" w:hAnsi="Times New Roman" w:cs="Times New Roman"/>
          <w:b/>
          <w:b/>
          <w:bCs/>
          <w:sz w:val="22"/>
          <w:szCs w:val="22"/>
        </w:rPr>
      </w:pPr>
      <w:r>
        <w:rPr>
          <w:rFonts w:cs="Times New Roman" w:ascii="Times New Roman" w:hAnsi="Times New Roman"/>
          <w:b/>
          <w:bCs/>
          <w:sz w:val="22"/>
          <w:szCs w:val="22"/>
        </w:rPr>
        <w:t xml:space="preserve">2. </w:t>
        <w:tab/>
        <w:t>OZNACZENIE POSTĘPOWANIA</w:t>
      </w:r>
    </w:p>
    <w:p>
      <w:pPr>
        <w:pStyle w:val="Tretekstu"/>
        <w:spacing w:lineRule="auto" w:line="276"/>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276"/>
        <w:ind w:left="709" w:hanging="0"/>
        <w:jc w:val="both"/>
        <w:rPr>
          <w:sz w:val="22"/>
          <w:szCs w:val="22"/>
        </w:rPr>
      </w:pPr>
      <w:r>
        <w:rPr>
          <w:sz w:val="22"/>
          <w:szCs w:val="22"/>
        </w:rPr>
        <w:t xml:space="preserve">Postępowanie, którego dotyczy niniejszy dokument oznaczone jest znakiem: </w:t>
      </w:r>
      <w:r>
        <w:rPr>
          <w:b/>
          <w:sz w:val="22"/>
          <w:szCs w:val="22"/>
        </w:rPr>
        <w:t>GOK.</w:t>
      </w:r>
      <w:r>
        <w:rPr>
          <w:b/>
          <w:bCs/>
          <w:sz w:val="22"/>
          <w:szCs w:val="22"/>
        </w:rPr>
        <w:t>271.2.2018</w:t>
      </w:r>
    </w:p>
    <w:p>
      <w:pPr>
        <w:pStyle w:val="Normal"/>
        <w:spacing w:lineRule="auto" w:line="276"/>
        <w:ind w:left="709" w:hanging="0"/>
        <w:jc w:val="both"/>
        <w:rPr>
          <w:sz w:val="22"/>
          <w:szCs w:val="22"/>
        </w:rPr>
      </w:pPr>
      <w:r>
        <w:rPr>
          <w:sz w:val="22"/>
          <w:szCs w:val="22"/>
        </w:rPr>
        <w:t xml:space="preserve">Wykonawcy powinni we wszelkich kontaktach z Zamawiającym powoływać się </w:t>
        <w:br/>
        <w:t>na wyżej podane oznaczenie.</w:t>
      </w:r>
    </w:p>
    <w:p>
      <w:pPr>
        <w:pStyle w:val="Normal"/>
        <w:spacing w:lineRule="auto" w:line="276"/>
        <w:ind w:left="709" w:hanging="0"/>
        <w:jc w:val="both"/>
        <w:rPr>
          <w:sz w:val="22"/>
          <w:szCs w:val="22"/>
        </w:rPr>
      </w:pPr>
      <w:r>
        <w:rPr>
          <w:sz w:val="22"/>
          <w:szCs w:val="22"/>
        </w:rPr>
      </w:r>
    </w:p>
    <w:p>
      <w:pPr>
        <w:pStyle w:val="Tretekstu"/>
        <w:spacing w:lineRule="auto" w:line="276"/>
        <w:rPr>
          <w:rFonts w:ascii="Times New Roman" w:hAnsi="Times New Roman" w:cs="Times New Roman"/>
          <w:b/>
          <w:b/>
          <w:bCs/>
          <w:sz w:val="22"/>
          <w:szCs w:val="22"/>
        </w:rPr>
      </w:pPr>
      <w:r>
        <w:rPr>
          <w:rFonts w:cs="Times New Roman" w:ascii="Times New Roman" w:hAnsi="Times New Roman"/>
          <w:b/>
          <w:bCs/>
          <w:sz w:val="22"/>
          <w:szCs w:val="22"/>
        </w:rPr>
        <w:t xml:space="preserve">3. </w:t>
        <w:tab/>
        <w:t>TRYB POSTĘPOWANIA</w:t>
      </w:r>
    </w:p>
    <w:p>
      <w:pPr>
        <w:pStyle w:val="Normal"/>
        <w:tabs>
          <w:tab w:val="left" w:pos="0" w:leader="none"/>
        </w:tabs>
        <w:spacing w:lineRule="auto" w:line="276"/>
        <w:ind w:left="708" w:hanging="0"/>
        <w:jc w:val="both"/>
        <w:rPr>
          <w:sz w:val="22"/>
          <w:szCs w:val="22"/>
        </w:rPr>
      </w:pPr>
      <w:r>
        <w:rPr>
          <w:sz w:val="22"/>
          <w:szCs w:val="22"/>
        </w:rPr>
        <w:t>Zamówienie będzie prowadzone w trybie przetargu nieograniczonego na podstawie ustawy z dnia 29 stycznia 2004 roku Prawo Zamówień Publicznych (Dz. U. z 2017 r., poz. 1579).</w:t>
      </w:r>
    </w:p>
    <w:p>
      <w:pPr>
        <w:pStyle w:val="Normal"/>
        <w:spacing w:lineRule="auto" w:line="276"/>
        <w:ind w:hanging="11"/>
        <w:jc w:val="both"/>
        <w:rPr>
          <w:sz w:val="22"/>
          <w:szCs w:val="22"/>
        </w:rPr>
      </w:pPr>
      <w:r>
        <w:rPr>
          <w:sz w:val="22"/>
          <w:szCs w:val="22"/>
        </w:rPr>
      </w:r>
    </w:p>
    <w:p>
      <w:pPr>
        <w:pStyle w:val="Tretekstu"/>
        <w:spacing w:lineRule="auto" w:line="276"/>
        <w:rPr>
          <w:rFonts w:ascii="Times New Roman" w:hAnsi="Times New Roman" w:cs="Times New Roman"/>
          <w:b/>
          <w:b/>
          <w:bCs/>
          <w:sz w:val="22"/>
          <w:szCs w:val="22"/>
        </w:rPr>
      </w:pPr>
      <w:r>
        <w:rPr>
          <w:rFonts w:cs="Times New Roman" w:ascii="Times New Roman" w:hAnsi="Times New Roman"/>
          <w:b/>
          <w:bCs/>
          <w:sz w:val="22"/>
          <w:szCs w:val="22"/>
        </w:rPr>
        <w:t xml:space="preserve">4. </w:t>
        <w:tab/>
        <w:t>ŹRÓDŁA FINANSOWANIA</w:t>
      </w:r>
    </w:p>
    <w:p>
      <w:pPr>
        <w:pStyle w:val="Normal"/>
        <w:spacing w:lineRule="auto" w:line="276"/>
        <w:ind w:left="709" w:hanging="0"/>
        <w:jc w:val="both"/>
        <w:rPr>
          <w:sz w:val="22"/>
          <w:szCs w:val="22"/>
        </w:rPr>
      </w:pPr>
      <w:r>
        <w:rPr>
          <w:sz w:val="22"/>
          <w:szCs w:val="22"/>
        </w:rPr>
        <w:t xml:space="preserve">Projekt współfinansowany: 56,34% z udziałem środków Europejskiego Funduszu Morskiego </w:t>
        <w:br/>
        <w:t xml:space="preserve">i Rybackiego w ramach Programu Operacyjnego Rybactwo i Morze na lata 2014 – 2020 </w:t>
        <w:br/>
        <w:t>i Budżetu Państwa oraz Budżet Gminnego Ośrodka Kultury „Jutrzenka” w Zwierzynie.</w:t>
      </w:r>
    </w:p>
    <w:p>
      <w:pPr>
        <w:pStyle w:val="Normal"/>
        <w:spacing w:lineRule="auto" w:line="276"/>
        <w:ind w:left="709" w:hanging="0"/>
        <w:jc w:val="both"/>
        <w:rPr>
          <w:sz w:val="22"/>
          <w:szCs w:val="22"/>
        </w:rPr>
      </w:pPr>
      <w:r>
        <w:rPr>
          <w:sz w:val="22"/>
          <w:szCs w:val="22"/>
        </w:rPr>
      </w:r>
    </w:p>
    <w:p>
      <w:pPr>
        <w:pStyle w:val="Normal"/>
        <w:spacing w:lineRule="auto" w:line="276"/>
        <w:ind w:left="709" w:hanging="0"/>
        <w:jc w:val="both"/>
        <w:rPr>
          <w:sz w:val="22"/>
          <w:szCs w:val="22"/>
        </w:rPr>
      </w:pPr>
      <w:r>
        <w:rPr>
          <w:sz w:val="22"/>
          <w:szCs w:val="22"/>
        </w:rPr>
      </w:r>
    </w:p>
    <w:p>
      <w:pPr>
        <w:pStyle w:val="Tretekstu"/>
        <w:spacing w:lineRule="auto" w:line="276"/>
        <w:rPr>
          <w:rFonts w:ascii="Times New Roman" w:hAnsi="Times New Roman" w:cs="Times New Roman"/>
          <w:b/>
          <w:b/>
          <w:bCs/>
          <w:sz w:val="22"/>
          <w:szCs w:val="22"/>
        </w:rPr>
      </w:pPr>
      <w:r>
        <w:rPr>
          <w:rFonts w:cs="Times New Roman" w:ascii="Times New Roman" w:hAnsi="Times New Roman"/>
          <w:b/>
          <w:bCs/>
          <w:sz w:val="22"/>
          <w:szCs w:val="22"/>
        </w:rPr>
        <w:t xml:space="preserve">5. </w:t>
        <w:tab/>
        <w:t>PRZEDMIOT ZAMÓWIENIA</w:t>
      </w:r>
    </w:p>
    <w:p>
      <w:pPr>
        <w:pStyle w:val="Normal"/>
        <w:widowControl w:val="false"/>
        <w:spacing w:lineRule="auto" w:line="276"/>
        <w:ind w:left="705" w:hanging="705"/>
        <w:jc w:val="both"/>
        <w:rPr>
          <w:rFonts w:eastAsia="Calibri" w:eastAsiaTheme="minorHAnsi"/>
          <w:sz w:val="22"/>
          <w:szCs w:val="22"/>
        </w:rPr>
      </w:pPr>
      <w:r>
        <w:rPr>
          <w:sz w:val="22"/>
          <w:szCs w:val="22"/>
        </w:rPr>
        <w:t>5.1.</w:t>
        <w:tab/>
        <w:t>Przedmiotem zamówienia jest wykonanie zadania pn.</w:t>
      </w:r>
      <w:r>
        <w:rPr>
          <w:b/>
          <w:sz w:val="22"/>
          <w:szCs w:val="22"/>
        </w:rPr>
        <w:t xml:space="preserve"> </w:t>
      </w:r>
      <w:r>
        <w:rPr>
          <w:rFonts w:eastAsia="Calibri"/>
          <w:b/>
          <w:bCs/>
          <w:sz w:val="22"/>
          <w:szCs w:val="22"/>
        </w:rPr>
        <w:t xml:space="preserve">Propagowanie rybackiego dziedzictwa kulturowego poprzez remont pomieszczeń i doposażenie Gminnego Ośrodka Kultury „Jutrzenka” w Zwierzynie. </w:t>
      </w:r>
      <w:r>
        <w:rPr>
          <w:sz w:val="22"/>
          <w:szCs w:val="22"/>
        </w:rPr>
        <w:t xml:space="preserve">Wykonacie remontu wewnątrz budynku Gminnego Ośrodka Kultury- </w:t>
      </w:r>
      <w:r>
        <w:rPr>
          <w:rFonts w:eastAsia="Calibri" w:eastAsiaTheme="minorHAnsi"/>
          <w:sz w:val="22"/>
          <w:szCs w:val="22"/>
        </w:rPr>
        <w:t xml:space="preserve">należy wykonać: prace remontowe ogólnobudowlane budowlane, sanitarne oraz elektryczne zgodnie z opisem zawartym w dokumentacji zgłoszenia robót (załącznik nr 8) oraz przedmiarem robót (załącznik nr 6). </w:t>
      </w:r>
    </w:p>
    <w:p>
      <w:pPr>
        <w:pStyle w:val="Normal"/>
        <w:widowControl w:val="false"/>
        <w:spacing w:lineRule="auto" w:line="276"/>
        <w:ind w:left="705" w:hanging="705"/>
        <w:jc w:val="both"/>
        <w:rPr>
          <w:rFonts w:eastAsia="Calibri"/>
          <w:b/>
          <w:b/>
          <w:bCs/>
          <w:sz w:val="22"/>
          <w:szCs w:val="22"/>
        </w:rPr>
      </w:pPr>
      <w:r>
        <w:rPr>
          <w:rFonts w:eastAsia="Calibri" w:eastAsiaTheme="minorHAnsi"/>
          <w:sz w:val="22"/>
          <w:szCs w:val="22"/>
        </w:rPr>
        <w:tab/>
        <w:t>Zamówienie nie jest udzielone w części.</w:t>
      </w:r>
    </w:p>
    <w:p>
      <w:pPr>
        <w:pStyle w:val="Normal"/>
        <w:widowControl w:val="false"/>
        <w:spacing w:lineRule="auto" w:line="276"/>
        <w:ind w:left="705" w:hanging="705"/>
        <w:rPr>
          <w:rFonts w:ascii="Arial" w:hAnsi="Arial" w:eastAsia="Calibri" w:cs="Arial" w:eastAsiaTheme="minorHAnsi"/>
          <w:sz w:val="26"/>
          <w:szCs w:val="26"/>
          <w:lang w:eastAsia="en-US"/>
        </w:rPr>
      </w:pPr>
      <w:r>
        <w:rPr>
          <w:rFonts w:eastAsia="Calibri" w:cs="Arial" w:ascii="Arial" w:hAnsi="Arial" w:eastAsiaTheme="minorHAnsi"/>
          <w:sz w:val="26"/>
          <w:szCs w:val="26"/>
          <w:lang w:eastAsia="en-US"/>
        </w:rPr>
        <w:tab/>
      </w:r>
    </w:p>
    <w:p>
      <w:pPr>
        <w:pStyle w:val="Normal"/>
        <w:widowControl w:val="false"/>
        <w:spacing w:lineRule="auto" w:line="276"/>
        <w:ind w:left="705" w:hanging="705"/>
        <w:rPr>
          <w:b/>
          <w:b/>
          <w:bCs/>
          <w:sz w:val="22"/>
          <w:szCs w:val="22"/>
        </w:rPr>
      </w:pPr>
      <w:r>
        <w:rPr>
          <w:rFonts w:eastAsia="Calibri" w:cs="Arial" w:ascii="Arial" w:hAnsi="Arial" w:eastAsiaTheme="minorHAnsi"/>
          <w:sz w:val="26"/>
          <w:szCs w:val="26"/>
          <w:lang w:eastAsia="en-US"/>
        </w:rPr>
        <w:tab/>
      </w:r>
      <w:r>
        <w:rPr>
          <w:b/>
          <w:bCs/>
          <w:sz w:val="22"/>
          <w:szCs w:val="22"/>
        </w:rPr>
        <w:t xml:space="preserve">CPV (Wspólny </w:t>
      </w:r>
      <w:r>
        <w:rPr>
          <w:b/>
          <w:bCs/>
          <w:sz w:val="22"/>
          <w:szCs w:val="22"/>
          <w:lang w:eastAsia="en-US"/>
        </w:rPr>
        <w:t>Słownik</w:t>
      </w:r>
      <w:r>
        <w:rPr>
          <w:b/>
          <w:bCs/>
          <w:sz w:val="22"/>
          <w:szCs w:val="22"/>
        </w:rPr>
        <w:t xml:space="preserve"> Zamówień) </w:t>
      </w:r>
    </w:p>
    <w:p>
      <w:pPr>
        <w:pStyle w:val="Tretekstu"/>
        <w:spacing w:lineRule="auto" w:line="276"/>
        <w:ind w:left="709" w:hanging="0"/>
        <w:jc w:val="both"/>
        <w:rPr>
          <w:rFonts w:ascii="Times New Roman" w:hAnsi="Times New Roman" w:cs="Times New Roman"/>
          <w:b/>
          <w:b/>
          <w:bCs/>
          <w:sz w:val="22"/>
          <w:szCs w:val="22"/>
          <w:lang w:eastAsia="en-US"/>
        </w:rPr>
      </w:pPr>
      <w:r>
        <w:rPr>
          <w:rFonts w:cs="Times New Roman" w:ascii="Times New Roman" w:hAnsi="Times New Roman"/>
          <w:b/>
          <w:bCs/>
          <w:sz w:val="22"/>
          <w:szCs w:val="22"/>
          <w:lang w:eastAsia="en-US"/>
        </w:rPr>
        <w:t>Główny przedmiot</w:t>
      </w:r>
    </w:p>
    <w:p>
      <w:pPr>
        <w:pStyle w:val="Styl1"/>
        <w:numPr>
          <w:ilvl w:val="0"/>
          <w:numId w:val="0"/>
        </w:numPr>
        <w:spacing w:lineRule="auto" w:line="276"/>
        <w:ind w:left="709" w:hanging="0"/>
        <w:rPr>
          <w:rFonts w:ascii="Times New Roman" w:hAnsi="Times New Roman"/>
          <w:szCs w:val="22"/>
        </w:rPr>
      </w:pPr>
      <w:r>
        <w:rPr>
          <w:rFonts w:ascii="Times New Roman" w:hAnsi="Times New Roman"/>
          <w:szCs w:val="22"/>
        </w:rPr>
        <w:t xml:space="preserve">Oznaczenie kodu robót wg Wspólnego Słownika Zamówień (CPV) </w:t>
      </w:r>
    </w:p>
    <w:p>
      <w:pPr>
        <w:pStyle w:val="Default"/>
        <w:spacing w:lineRule="auto" w:line="276"/>
        <w:ind w:left="709" w:hanging="0"/>
        <w:jc w:val="both"/>
        <w:rPr>
          <w:color w:val="00000A"/>
          <w:sz w:val="22"/>
          <w:szCs w:val="22"/>
        </w:rPr>
      </w:pPr>
      <w:r>
        <w:rPr>
          <w:color w:val="00000A"/>
          <w:sz w:val="22"/>
          <w:szCs w:val="22"/>
        </w:rPr>
        <w:t>Główny przedmiot:</w:t>
      </w:r>
    </w:p>
    <w:p>
      <w:pPr>
        <w:pStyle w:val="Default"/>
        <w:spacing w:lineRule="auto" w:line="276"/>
        <w:ind w:left="709" w:hanging="0"/>
        <w:jc w:val="both"/>
        <w:rPr>
          <w:color w:val="00000A"/>
          <w:sz w:val="22"/>
          <w:szCs w:val="22"/>
        </w:rPr>
      </w:pPr>
      <w:r>
        <w:rPr>
          <w:color w:val="00000A"/>
          <w:sz w:val="22"/>
          <w:szCs w:val="22"/>
        </w:rPr>
        <w:t>45000000-7 Roboty budowlane</w:t>
      </w:r>
    </w:p>
    <w:p>
      <w:pPr>
        <w:pStyle w:val="Default"/>
        <w:spacing w:lineRule="auto" w:line="276"/>
        <w:ind w:left="709" w:hanging="0"/>
        <w:jc w:val="both"/>
        <w:rPr>
          <w:color w:val="00000A"/>
          <w:sz w:val="22"/>
          <w:szCs w:val="22"/>
        </w:rPr>
      </w:pPr>
      <w:r>
        <w:rPr>
          <w:color w:val="00000A"/>
          <w:sz w:val="22"/>
          <w:szCs w:val="22"/>
        </w:rPr>
        <w:t>45330000-9 Roboty instalacyjne wodno – kanalizacyjne i sanitarne</w:t>
      </w:r>
    </w:p>
    <w:p>
      <w:pPr>
        <w:pStyle w:val="Default"/>
        <w:spacing w:lineRule="auto" w:line="276"/>
        <w:ind w:left="709" w:hanging="0"/>
        <w:jc w:val="both"/>
        <w:rPr>
          <w:color w:val="00000A"/>
          <w:sz w:val="22"/>
          <w:szCs w:val="22"/>
        </w:rPr>
      </w:pPr>
      <w:r>
        <w:rPr>
          <w:color w:val="00000A"/>
          <w:sz w:val="22"/>
          <w:szCs w:val="22"/>
        </w:rPr>
        <w:t>45300000-0 Roboty instalacyjne w budynkach</w:t>
      </w:r>
    </w:p>
    <w:p>
      <w:pPr>
        <w:pStyle w:val="BodyText3"/>
        <w:spacing w:lineRule="auto" w:line="276"/>
        <w:ind w:firstLine="708"/>
        <w:rPr>
          <w:i w:val="false"/>
          <w:i w:val="false"/>
          <w:iCs w:val="false"/>
          <w:sz w:val="22"/>
          <w:szCs w:val="22"/>
        </w:rPr>
      </w:pPr>
      <w:r>
        <w:rPr>
          <w:i w:val="false"/>
          <w:iCs w:val="false"/>
          <w:sz w:val="22"/>
          <w:szCs w:val="22"/>
        </w:rPr>
        <w:t>Przedmiot zamówienia zwany jest dalej „przedmiotem zamówienia”.</w:t>
      </w:r>
    </w:p>
    <w:p>
      <w:pPr>
        <w:pStyle w:val="BodyText3"/>
        <w:spacing w:lineRule="auto" w:line="276"/>
        <w:ind w:left="709" w:hanging="0"/>
        <w:rPr>
          <w:i w:val="false"/>
          <w:i w:val="false"/>
          <w:iCs w:val="false"/>
          <w:sz w:val="22"/>
          <w:szCs w:val="22"/>
        </w:rPr>
      </w:pPr>
      <w:r>
        <w:rPr>
          <w:i w:val="false"/>
          <w:iCs w:val="false"/>
          <w:sz w:val="22"/>
          <w:szCs w:val="22"/>
        </w:rPr>
        <w:t>Wykonawca zwany jest dalej „Wykonawcą”.</w:t>
      </w:r>
    </w:p>
    <w:p>
      <w:pPr>
        <w:pStyle w:val="BodyText3"/>
        <w:spacing w:lineRule="auto" w:line="276"/>
        <w:ind w:left="709" w:hanging="0"/>
        <w:rPr>
          <w:i w:val="false"/>
          <w:i w:val="false"/>
          <w:iCs w:val="false"/>
          <w:sz w:val="22"/>
          <w:szCs w:val="22"/>
        </w:rPr>
      </w:pPr>
      <w:r>
        <w:rPr>
          <w:i w:val="false"/>
          <w:iCs w:val="false"/>
          <w:sz w:val="22"/>
          <w:szCs w:val="22"/>
        </w:rPr>
        <w:t xml:space="preserve">Specyfikacja Istotnych Warunków Zamówienia zwana jest dalej „SIWZ” </w:t>
        <w:br/>
        <w:t>lub „Specyfikacją”.</w:t>
      </w:r>
    </w:p>
    <w:p>
      <w:pPr>
        <w:pStyle w:val="BodyText3"/>
        <w:spacing w:lineRule="auto" w:line="276"/>
        <w:ind w:left="709" w:hanging="0"/>
        <w:rPr/>
      </w:pPr>
      <w:r>
        <w:rPr>
          <w:i w:val="false"/>
          <w:iCs w:val="false"/>
          <w:sz w:val="22"/>
          <w:szCs w:val="22"/>
        </w:rPr>
        <w:t xml:space="preserve">Zamawiający </w:t>
      </w:r>
      <w:r>
        <w:rPr>
          <w:i w:val="false"/>
          <w:iCs w:val="false"/>
          <w:sz w:val="22"/>
          <w:szCs w:val="22"/>
        </w:rPr>
        <w:t xml:space="preserve">nie </w:t>
      </w:r>
      <w:r>
        <w:rPr>
          <w:b/>
          <w:i w:val="false"/>
          <w:iCs w:val="false"/>
          <w:sz w:val="22"/>
          <w:szCs w:val="22"/>
        </w:rPr>
        <w:t xml:space="preserve">dopuszcza </w:t>
      </w:r>
      <w:r>
        <w:rPr>
          <w:i w:val="false"/>
          <w:iCs w:val="false"/>
          <w:sz w:val="22"/>
          <w:szCs w:val="22"/>
        </w:rPr>
        <w:t xml:space="preserve">składanie ofert częściowych. </w:t>
      </w:r>
    </w:p>
    <w:p>
      <w:pPr>
        <w:pStyle w:val="BodyText3"/>
        <w:spacing w:lineRule="auto" w:line="276"/>
        <w:ind w:left="709" w:hanging="0"/>
        <w:rPr>
          <w:i w:val="false"/>
          <w:i w:val="false"/>
          <w:iCs w:val="false"/>
          <w:sz w:val="22"/>
          <w:szCs w:val="22"/>
        </w:rPr>
      </w:pPr>
      <w:r>
        <w:rPr/>
      </w:r>
    </w:p>
    <w:p>
      <w:pPr>
        <w:pStyle w:val="BodyText3"/>
        <w:spacing w:lineRule="auto" w:line="276"/>
        <w:ind w:left="709" w:hanging="0"/>
        <w:rPr>
          <w:i w:val="false"/>
          <w:i w:val="false"/>
          <w:iCs w:val="false"/>
          <w:sz w:val="22"/>
          <w:szCs w:val="22"/>
        </w:rPr>
      </w:pPr>
      <w:r>
        <w:rPr>
          <w:i w:val="false"/>
          <w:iCs w:val="false"/>
          <w:sz w:val="22"/>
          <w:szCs w:val="22"/>
        </w:rPr>
        <w:t xml:space="preserve">Zamawiający </w:t>
      </w:r>
      <w:r>
        <w:rPr>
          <w:b/>
          <w:i w:val="false"/>
          <w:iCs w:val="false"/>
          <w:sz w:val="22"/>
          <w:szCs w:val="22"/>
        </w:rPr>
        <w:t>nie dopuszcza</w:t>
      </w:r>
      <w:r>
        <w:rPr>
          <w:i w:val="false"/>
          <w:iCs w:val="false"/>
          <w:sz w:val="22"/>
          <w:szCs w:val="22"/>
        </w:rPr>
        <w:t xml:space="preserve"> składania ofert wariantowych.</w:t>
      </w:r>
    </w:p>
    <w:p>
      <w:pPr>
        <w:pStyle w:val="BodyText3"/>
        <w:spacing w:lineRule="auto" w:line="276"/>
        <w:ind w:left="709" w:hanging="0"/>
        <w:rPr>
          <w:i w:val="false"/>
          <w:i w:val="false"/>
          <w:iCs w:val="false"/>
          <w:sz w:val="22"/>
          <w:szCs w:val="22"/>
        </w:rPr>
      </w:pPr>
      <w:r>
        <w:rPr>
          <w:i w:val="false"/>
          <w:iCs w:val="false"/>
          <w:sz w:val="22"/>
          <w:szCs w:val="22"/>
        </w:rPr>
        <w:t xml:space="preserve">Realizacja zamówienia podlega prawu polskiemu, w tym w szczególności ustawie z dnia 7 lipca 1994 roku Prawo budowlane (t.j. Dz.U. z 2016r., poz. 290 ze zm.), ustawie z dnia 23 kwietnia 1964 r. Kodeks cywilny (t,j. Dz. U. z 2016 r., poz. 380 ze zm.) i ustawie z dnia 29 stycznia 2004 r. Prawo zamówień publicznych (t.j. </w:t>
      </w:r>
      <w:r>
        <w:rPr>
          <w:i w:val="false"/>
          <w:sz w:val="22"/>
          <w:szCs w:val="22"/>
        </w:rPr>
        <w:t>Dz. U. z 2017 r., poz. 1579).</w:t>
      </w:r>
    </w:p>
    <w:p>
      <w:pPr>
        <w:pStyle w:val="BodyText3"/>
        <w:spacing w:lineRule="auto" w:line="276"/>
        <w:ind w:left="709" w:hanging="0"/>
        <w:rPr>
          <w:i w:val="false"/>
          <w:i w:val="false"/>
          <w:iCs w:val="false"/>
          <w:sz w:val="22"/>
          <w:szCs w:val="22"/>
        </w:rPr>
      </w:pPr>
      <w:r>
        <w:rPr>
          <w:i w:val="false"/>
          <w:iCs w:val="false"/>
          <w:sz w:val="22"/>
          <w:szCs w:val="22"/>
        </w:rPr>
      </w:r>
    </w:p>
    <w:p>
      <w:pPr>
        <w:pStyle w:val="Normal"/>
        <w:widowControl w:val="false"/>
        <w:suppressAutoHyphens w:val="true"/>
        <w:spacing w:lineRule="auto" w:line="276" w:before="0" w:after="200"/>
        <w:ind w:left="705" w:hanging="705"/>
        <w:contextualSpacing/>
        <w:jc w:val="both"/>
        <w:textAlignment w:val="baseline"/>
        <w:rPr>
          <w:rFonts w:eastAsia="Lucida Sans Unicode"/>
          <w:kern w:val="2"/>
          <w:sz w:val="22"/>
          <w:szCs w:val="22"/>
        </w:rPr>
      </w:pPr>
      <w:r>
        <w:rPr>
          <w:sz w:val="22"/>
          <w:szCs w:val="22"/>
        </w:rPr>
        <w:t xml:space="preserve">5.2. </w:t>
        <w:tab/>
      </w:r>
      <w:r>
        <w:rPr>
          <w:rFonts w:eastAsia="Lucida Sans Unicode"/>
          <w:kern w:val="2"/>
          <w:sz w:val="22"/>
          <w:szCs w:val="22"/>
        </w:rPr>
        <w:t>Szczegółowy zakres robót budowlanych przewidzianych do wykonania w ramach niniejszego zamówienia określa SIWZ wraz załącznikami  - dokumentacją techniczną,  specyfikacja techniczna wykonania i odbioru robót. Powyższe dokumenty  stanowią załączniki do SIWZ..</w:t>
      </w:r>
    </w:p>
    <w:p>
      <w:pPr>
        <w:pStyle w:val="Normal"/>
        <w:widowControl w:val="false"/>
        <w:tabs>
          <w:tab w:val="left" w:pos="709" w:leader="none"/>
        </w:tabs>
        <w:suppressAutoHyphens w:val="true"/>
        <w:spacing w:lineRule="auto" w:line="276" w:before="0" w:after="200"/>
        <w:ind w:left="709" w:hanging="705"/>
        <w:contextualSpacing/>
        <w:jc w:val="both"/>
        <w:textAlignment w:val="baseline"/>
        <w:rPr>
          <w:rFonts w:eastAsia="Lucida Sans Unicode"/>
          <w:kern w:val="2"/>
          <w:sz w:val="22"/>
          <w:szCs w:val="22"/>
        </w:rPr>
      </w:pPr>
      <w:r>
        <w:rPr>
          <w:sz w:val="22"/>
          <w:szCs w:val="22"/>
        </w:rPr>
        <w:t xml:space="preserve"> </w:t>
      </w:r>
      <w:r>
        <w:rPr>
          <w:sz w:val="22"/>
          <w:szCs w:val="22"/>
        </w:rPr>
        <w:t xml:space="preserve">5.3. </w:t>
        <w:tab/>
        <w:t>Przedmiot umowy należy wykonać zgodnie z:</w:t>
      </w:r>
    </w:p>
    <w:p>
      <w:pPr>
        <w:pStyle w:val="Normal"/>
        <w:widowControl w:val="false"/>
        <w:numPr>
          <w:ilvl w:val="0"/>
          <w:numId w:val="14"/>
        </w:numPr>
        <w:suppressAutoHyphens w:val="true"/>
        <w:spacing w:lineRule="auto" w:line="276"/>
        <w:jc w:val="both"/>
        <w:rPr>
          <w:sz w:val="22"/>
          <w:szCs w:val="22"/>
        </w:rPr>
      </w:pPr>
      <w:r>
        <w:rPr>
          <w:sz w:val="22"/>
          <w:szCs w:val="22"/>
        </w:rPr>
        <w:t>dokumentacją techniczną,</w:t>
      </w:r>
    </w:p>
    <w:p>
      <w:pPr>
        <w:pStyle w:val="Normal"/>
        <w:widowControl w:val="false"/>
        <w:numPr>
          <w:ilvl w:val="0"/>
          <w:numId w:val="14"/>
        </w:numPr>
        <w:suppressAutoHyphens w:val="true"/>
        <w:spacing w:lineRule="auto" w:line="276"/>
        <w:jc w:val="both"/>
        <w:rPr>
          <w:sz w:val="22"/>
          <w:szCs w:val="22"/>
        </w:rPr>
      </w:pPr>
      <w:r>
        <w:rPr>
          <w:sz w:val="22"/>
          <w:szCs w:val="22"/>
        </w:rPr>
        <w:t>uzgodnieniami i decyzjami administracyjnymi,</w:t>
      </w:r>
    </w:p>
    <w:p>
      <w:pPr>
        <w:pStyle w:val="Normal"/>
        <w:widowControl w:val="false"/>
        <w:numPr>
          <w:ilvl w:val="0"/>
          <w:numId w:val="14"/>
        </w:numPr>
        <w:suppressAutoHyphens w:val="true"/>
        <w:spacing w:lineRule="auto" w:line="276"/>
        <w:jc w:val="both"/>
        <w:rPr>
          <w:sz w:val="22"/>
          <w:szCs w:val="22"/>
        </w:rPr>
      </w:pPr>
      <w:r>
        <w:rPr>
          <w:sz w:val="22"/>
          <w:szCs w:val="22"/>
        </w:rPr>
        <w:t>warunkami wynikającymi z obowiązujących przepisów technicznych i prawa budowlanego,</w:t>
      </w:r>
    </w:p>
    <w:p>
      <w:pPr>
        <w:pStyle w:val="Normal"/>
        <w:widowControl w:val="false"/>
        <w:numPr>
          <w:ilvl w:val="0"/>
          <w:numId w:val="14"/>
        </w:numPr>
        <w:suppressAutoHyphens w:val="true"/>
        <w:spacing w:lineRule="auto" w:line="276"/>
        <w:jc w:val="both"/>
        <w:rPr>
          <w:sz w:val="22"/>
          <w:szCs w:val="22"/>
        </w:rPr>
      </w:pPr>
      <w:r>
        <w:rPr>
          <w:sz w:val="22"/>
          <w:szCs w:val="22"/>
        </w:rPr>
        <w:t>wymaganiami wynikającymi z obowiązujących Polskich Norm i aprobat technicznych,</w:t>
      </w:r>
    </w:p>
    <w:p>
      <w:pPr>
        <w:pStyle w:val="Normal"/>
        <w:widowControl w:val="false"/>
        <w:numPr>
          <w:ilvl w:val="0"/>
          <w:numId w:val="14"/>
        </w:numPr>
        <w:suppressAutoHyphens w:val="true"/>
        <w:spacing w:lineRule="auto" w:line="276"/>
        <w:jc w:val="both"/>
        <w:rPr>
          <w:sz w:val="22"/>
          <w:szCs w:val="22"/>
        </w:rPr>
      </w:pPr>
      <w:r>
        <w:rPr>
          <w:sz w:val="22"/>
          <w:szCs w:val="22"/>
        </w:rPr>
        <w:t>zasadami rzetelnej wiedzy technicznej.</w:t>
      </w:r>
    </w:p>
    <w:p>
      <w:pPr>
        <w:pStyle w:val="Normal"/>
        <w:widowControl w:val="false"/>
        <w:suppressAutoHyphens w:val="true"/>
        <w:spacing w:lineRule="auto" w:line="276"/>
        <w:ind w:left="705" w:hanging="705"/>
        <w:jc w:val="both"/>
        <w:rPr>
          <w:rFonts w:eastAsia="Lucida Sans Unicode"/>
          <w:kern w:val="2"/>
          <w:sz w:val="22"/>
          <w:szCs w:val="22"/>
        </w:rPr>
      </w:pPr>
      <w:r>
        <w:rPr>
          <w:sz w:val="22"/>
          <w:szCs w:val="22"/>
        </w:rPr>
        <w:t>5.4.</w:t>
        <w:tab/>
      </w:r>
      <w:r>
        <w:rPr>
          <w:rFonts w:eastAsia="Lucida Sans Unicode"/>
          <w:kern w:val="2"/>
          <w:sz w:val="22"/>
          <w:szCs w:val="22"/>
        </w:rPr>
        <w:t>Prace należy prowadzić pod kierunkiem osób posiadających odpowiednie uprawnienia budowlane. Wykonawca zapewni udział przy realizacji zamówienia osób posiadających uprawnienia do kierowania robotami budowlanymi w branży konstrukcyjnej i kierownicy robót branży sanitarnej i elektrycznej</w:t>
      </w:r>
    </w:p>
    <w:p>
      <w:pPr>
        <w:pStyle w:val="Normal"/>
        <w:widowControl w:val="false"/>
        <w:tabs>
          <w:tab w:val="left" w:pos="709" w:leader="none"/>
        </w:tabs>
        <w:suppressAutoHyphens w:val="true"/>
        <w:spacing w:lineRule="auto" w:line="276"/>
        <w:ind w:left="705" w:hanging="705"/>
        <w:jc w:val="both"/>
        <w:rPr>
          <w:sz w:val="22"/>
          <w:szCs w:val="22"/>
        </w:rPr>
      </w:pPr>
      <w:r>
        <w:rPr>
          <w:rFonts w:eastAsia="Lucida Sans Unicode"/>
          <w:kern w:val="2"/>
          <w:sz w:val="22"/>
          <w:szCs w:val="22"/>
        </w:rPr>
        <w:t>5.5</w:t>
      </w:r>
      <w:r>
        <w:rPr>
          <w:bCs/>
          <w:sz w:val="22"/>
          <w:szCs w:val="22"/>
        </w:rPr>
        <w:t>.</w:t>
        <w:tab/>
        <w:t xml:space="preserve">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w:t>
      </w:r>
    </w:p>
    <w:p>
      <w:pPr>
        <w:pStyle w:val="Normal"/>
        <w:widowControl w:val="false"/>
        <w:tabs>
          <w:tab w:val="left" w:pos="993" w:leader="none"/>
        </w:tabs>
        <w:suppressAutoHyphens w:val="true"/>
        <w:spacing w:lineRule="auto" w:line="276"/>
        <w:ind w:left="705" w:hanging="705"/>
        <w:jc w:val="both"/>
        <w:rPr>
          <w:sz w:val="22"/>
          <w:szCs w:val="22"/>
        </w:rPr>
      </w:pPr>
      <w:r>
        <w:rPr>
          <w:rFonts w:eastAsia="Lucida Sans Unicode"/>
          <w:kern w:val="2"/>
          <w:sz w:val="22"/>
          <w:szCs w:val="22"/>
        </w:rPr>
        <w:t xml:space="preserve">5.6. </w:t>
        <w:tab/>
      </w:r>
      <w:r>
        <w:rPr>
          <w:bCs/>
          <w:sz w:val="22"/>
          <w:szCs w:val="22"/>
        </w:rPr>
        <w:t>Wykonawca zobowiązany jest w momencie podpisania umowy do złożenia harmonogramu terminowego realizacji zamówienia.</w:t>
      </w:r>
    </w:p>
    <w:p>
      <w:pPr>
        <w:pStyle w:val="Normal"/>
        <w:widowControl w:val="false"/>
        <w:suppressAutoHyphens w:val="true"/>
        <w:spacing w:lineRule="auto" w:line="276"/>
        <w:ind w:left="705" w:hanging="705"/>
        <w:jc w:val="both"/>
        <w:rPr>
          <w:rFonts w:eastAsia="Lucida Sans Unicode"/>
          <w:kern w:val="2"/>
          <w:sz w:val="22"/>
          <w:szCs w:val="22"/>
        </w:rPr>
      </w:pPr>
      <w:r>
        <w:rPr>
          <w:sz w:val="22"/>
          <w:szCs w:val="22"/>
        </w:rPr>
        <w:t xml:space="preserve">5.7. </w:t>
        <w:tab/>
      </w:r>
      <w:r>
        <w:rPr>
          <w:rFonts w:eastAsia="Lucida Sans Unicode"/>
          <w:kern w:val="2"/>
          <w:sz w:val="22"/>
          <w:szCs w:val="22"/>
        </w:rPr>
        <w:t>Zadanie będzie rozliczone w formie ryczałtu więc załączony przedmiar robót ma wyłącznie charakter pomocniczy do obliczenia ceny. Podstawą rozliczenia będzie dokumentacja projektowa oraz specyfikacje techniczne</w:t>
      </w:r>
    </w:p>
    <w:p>
      <w:pPr>
        <w:pStyle w:val="Normal"/>
        <w:widowControl w:val="false"/>
        <w:tabs>
          <w:tab w:val="left" w:pos="993" w:leader="none"/>
        </w:tabs>
        <w:suppressAutoHyphens w:val="true"/>
        <w:spacing w:lineRule="auto" w:line="276"/>
        <w:ind w:left="705" w:hanging="705"/>
        <w:jc w:val="both"/>
        <w:rPr>
          <w:sz w:val="22"/>
          <w:szCs w:val="22"/>
        </w:rPr>
      </w:pPr>
      <w:r>
        <w:rPr>
          <w:rFonts w:eastAsia="Lucida Sans Unicode"/>
          <w:kern w:val="2"/>
          <w:sz w:val="22"/>
          <w:szCs w:val="22"/>
        </w:rPr>
        <w:t xml:space="preserve">5.8. </w:t>
        <w:tab/>
      </w:r>
      <w:r>
        <w:rPr>
          <w:bCs/>
          <w:sz w:val="22"/>
          <w:szCs w:val="22"/>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pPr>
        <w:pStyle w:val="Normal"/>
        <w:spacing w:lineRule="auto" w:line="276" w:before="120" w:after="0"/>
        <w:ind w:left="709" w:hanging="709"/>
        <w:jc w:val="both"/>
        <w:rPr>
          <w:sz w:val="22"/>
          <w:szCs w:val="22"/>
        </w:rPr>
      </w:pPr>
      <w:r>
        <w:rPr>
          <w:sz w:val="22"/>
          <w:szCs w:val="22"/>
        </w:rPr>
        <w:t xml:space="preserve">5.9. </w:t>
        <w:tab/>
        <w:t>Zamawiający nie przewiduje możliwości udzielenia zamówień, o których mowa w art. 67 ust. 1 pkt 6 ustawy Pzp.</w:t>
      </w:r>
    </w:p>
    <w:p>
      <w:pPr>
        <w:pStyle w:val="Normal"/>
        <w:spacing w:lineRule="auto" w:line="276" w:before="120" w:after="0"/>
        <w:ind w:left="709" w:hanging="709"/>
        <w:jc w:val="both"/>
        <w:rPr>
          <w:sz w:val="22"/>
          <w:szCs w:val="22"/>
        </w:rPr>
      </w:pPr>
      <w:r>
        <w:rPr>
          <w:sz w:val="22"/>
          <w:szCs w:val="22"/>
        </w:rPr>
        <w:t xml:space="preserve">5.10. </w:t>
        <w:tab/>
        <w:t>Wymagania zatrudnienia przez Wykonawcę lub Podwykonawcę na podstawie umowy o pracę, o których mowa w art. 29 ust. 3a ustawy Pzp, osób wykonujących wskazane przez Zamawiającego czynności w zakresie realizacji zamówienia zostały określone   w Tomie II SIWZ.</w:t>
      </w:r>
    </w:p>
    <w:p>
      <w:pPr>
        <w:pStyle w:val="Normal"/>
        <w:spacing w:lineRule="auto" w:line="276" w:before="120" w:after="0"/>
        <w:ind w:left="709" w:hanging="0"/>
        <w:jc w:val="both"/>
        <w:rPr>
          <w:sz w:val="22"/>
          <w:szCs w:val="22"/>
        </w:rPr>
      </w:pPr>
      <w:r>
        <w:rPr>
          <w:sz w:val="22"/>
          <w:szCs w:val="22"/>
        </w:rPr>
        <w:t>Powyższe wymagania określają w szczególności:</w:t>
      </w:r>
    </w:p>
    <w:p>
      <w:pPr>
        <w:pStyle w:val="Normal"/>
        <w:spacing w:lineRule="auto" w:line="276" w:before="120" w:after="0"/>
        <w:ind w:left="1134" w:hanging="425"/>
        <w:jc w:val="both"/>
        <w:rPr>
          <w:sz w:val="22"/>
          <w:szCs w:val="22"/>
        </w:rPr>
      </w:pPr>
      <w:r>
        <w:rPr>
          <w:sz w:val="22"/>
          <w:szCs w:val="22"/>
        </w:rPr>
        <w:t xml:space="preserve">a) </w:t>
        <w:tab/>
        <w:t xml:space="preserve">sposób dokumentowania zatrudnienia osób, o których mowa w art. 29 ust. 3a ustawy Pzp; </w:t>
      </w:r>
    </w:p>
    <w:p>
      <w:pPr>
        <w:pStyle w:val="Normal"/>
        <w:spacing w:lineRule="auto" w:line="276" w:before="120" w:after="0"/>
        <w:ind w:left="1134" w:hanging="425"/>
        <w:jc w:val="both"/>
        <w:rPr>
          <w:sz w:val="22"/>
          <w:szCs w:val="22"/>
        </w:rPr>
      </w:pPr>
      <w:r>
        <w:rPr>
          <w:sz w:val="22"/>
          <w:szCs w:val="22"/>
        </w:rPr>
        <w:t xml:space="preserve">b) </w:t>
        <w:tab/>
        <w:t xml:space="preserve">uprawnienia Zamawiającego w zakresie kontroli spełniania przez Wykonawcę wymagań, o których mowa w art. 29 ust. 3a ustawy Pzp, oraz sankcje z tytułu niespełnienia tych wymagań; </w:t>
      </w:r>
    </w:p>
    <w:p>
      <w:pPr>
        <w:pStyle w:val="Normal"/>
        <w:spacing w:lineRule="auto" w:line="276" w:before="120" w:after="0"/>
        <w:ind w:left="1134" w:hanging="425"/>
        <w:jc w:val="both"/>
        <w:rPr>
          <w:sz w:val="22"/>
          <w:szCs w:val="22"/>
        </w:rPr>
      </w:pPr>
      <w:r>
        <w:rPr>
          <w:sz w:val="22"/>
          <w:szCs w:val="22"/>
        </w:rPr>
        <w:t xml:space="preserve">c) </w:t>
        <w:tab/>
        <w:t>rodzaj czynności niezbędnych do realizacji zamówienia, których dotyczą wymagania zatrudnienia na podstawie umowy o pracę przez Wykonawcę lub Podwykonawcę osób wykonujących czynności w trakcie realizacji zamówienia.</w:t>
      </w:r>
    </w:p>
    <w:p>
      <w:pPr>
        <w:pStyle w:val="Normal"/>
        <w:spacing w:lineRule="auto" w:line="276" w:before="120" w:after="0"/>
        <w:ind w:left="1134" w:hanging="425"/>
        <w:jc w:val="both"/>
        <w:rPr>
          <w:sz w:val="22"/>
          <w:szCs w:val="22"/>
        </w:rPr>
      </w:pPr>
      <w:r>
        <w:rPr>
          <w:sz w:val="22"/>
          <w:szCs w:val="22"/>
        </w:rPr>
      </w:r>
    </w:p>
    <w:p>
      <w:pPr>
        <w:pStyle w:val="Normal"/>
        <w:spacing w:lineRule="auto" w:line="276" w:before="120" w:after="0"/>
        <w:jc w:val="both"/>
        <w:rPr>
          <w:sz w:val="22"/>
          <w:szCs w:val="22"/>
        </w:rPr>
      </w:pPr>
      <w:r>
        <w:rPr>
          <w:sz w:val="22"/>
          <w:szCs w:val="22"/>
        </w:rPr>
        <w:t>5.11.</w:t>
        <w:tab/>
      </w:r>
      <w:r>
        <w:rPr>
          <w:b/>
          <w:bCs/>
          <w:sz w:val="22"/>
          <w:szCs w:val="22"/>
        </w:rPr>
        <w:t xml:space="preserve">WYMÓG ZATRUDNIENIA NA UMOWĘ O PRACĘ </w:t>
      </w:r>
    </w:p>
    <w:p>
      <w:pPr>
        <w:pStyle w:val="Normal"/>
        <w:spacing w:lineRule="auto" w:line="276"/>
        <w:ind w:left="708" w:hanging="0"/>
        <w:rPr>
          <w:sz w:val="22"/>
          <w:szCs w:val="22"/>
        </w:rPr>
      </w:pPr>
      <w:r>
        <w:rPr>
          <w:sz w:val="22"/>
          <w:szCs w:val="22"/>
        </w:rPr>
        <w:t>Zamawiający, stosownie do zapisów art. 29 ust. 3a ustawy Pzp, wymaga, aby wszystkie prace fizyczne związane z wykonywaniem wszystkich robót objętych zamówieniem oraz wszelkie czynności podejmowane przez Wykonawcę i związane z dostawą wyposażenia, których realizacja polega na wykonywaniu pracy w sposób określony w art. 22 § 1* ustawy z dnia 26 czerwca 1974 r. – Kodeks pracy, były wykonywane przez osoby zatrudnione przez Wykonawcę lub Podwykonawcę na podstawie umowy o pracę.</w:t>
      </w:r>
    </w:p>
    <w:p>
      <w:pPr>
        <w:pStyle w:val="Normal"/>
        <w:spacing w:lineRule="auto" w:line="276" w:before="120" w:after="0"/>
        <w:ind w:left="709" w:hanging="0"/>
        <w:jc w:val="both"/>
        <w:rPr>
          <w:sz w:val="22"/>
          <w:szCs w:val="22"/>
        </w:rPr>
      </w:pPr>
      <w:r>
        <w:rPr>
          <w:sz w:val="22"/>
          <w:szCs w:val="22"/>
        </w:rPr>
        <w:t>Wykonawca lub Podwykonawca zatrudni wyżej wymienione osoby na okres od rozpoczęcia do upływu terminu realizacji zamówienia; w przypadku rozwiązania stosunku pracy przez pracownika lub przez pracodawcę przed zakończeniem tego okresu, Wykonawca będzie obowiązany do zatrudnienia na to miejsce innej osoby.</w:t>
      </w:r>
    </w:p>
    <w:p>
      <w:pPr>
        <w:pStyle w:val="Normal"/>
        <w:spacing w:lineRule="auto" w:line="276" w:before="120" w:after="0"/>
        <w:ind w:left="709" w:hanging="0"/>
        <w:jc w:val="both"/>
        <w:rPr>
          <w:sz w:val="22"/>
          <w:szCs w:val="22"/>
        </w:rPr>
      </w:pPr>
      <w:r>
        <w:rPr>
          <w:sz w:val="22"/>
          <w:szCs w:val="22"/>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pPr>
        <w:pStyle w:val="Normal"/>
        <w:spacing w:lineRule="auto" w:line="276" w:before="120" w:after="0"/>
        <w:ind w:left="709" w:hanging="709"/>
        <w:jc w:val="both"/>
        <w:rPr>
          <w:sz w:val="22"/>
          <w:szCs w:val="22"/>
        </w:rPr>
      </w:pPr>
      <w:r>
        <w:rPr>
          <w:sz w:val="22"/>
          <w:szCs w:val="22"/>
        </w:rPr>
        <w:t>5.12.</w:t>
        <w:tab/>
      </w:r>
      <w:r>
        <w:rPr>
          <w:b/>
          <w:sz w:val="22"/>
          <w:szCs w:val="22"/>
        </w:rPr>
        <w:t>PODWYKONAWSTWO:</w:t>
      </w:r>
    </w:p>
    <w:p>
      <w:pPr>
        <w:pStyle w:val="Normal"/>
        <w:numPr>
          <w:ilvl w:val="0"/>
          <w:numId w:val="3"/>
        </w:numPr>
        <w:tabs>
          <w:tab w:val="left" w:pos="1134" w:leader="none"/>
        </w:tabs>
        <w:spacing w:lineRule="auto" w:line="276" w:before="120" w:after="0"/>
        <w:jc w:val="both"/>
        <w:rPr>
          <w:sz w:val="22"/>
          <w:szCs w:val="22"/>
        </w:rPr>
      </w:pPr>
      <w:r>
        <w:rPr>
          <w:sz w:val="22"/>
          <w:szCs w:val="22"/>
        </w:rPr>
        <w:t xml:space="preserve">Zamawiający </w:t>
      </w:r>
      <w:r>
        <w:rPr>
          <w:b/>
          <w:sz w:val="22"/>
          <w:szCs w:val="22"/>
        </w:rPr>
        <w:t>nie zastrzega</w:t>
      </w:r>
      <w:r>
        <w:rPr>
          <w:sz w:val="22"/>
          <w:szCs w:val="22"/>
        </w:rPr>
        <w:t xml:space="preserve"> obowiązku osobistego wykonania przez Wykonawcę kluczowych części zamówienia; </w:t>
      </w:r>
    </w:p>
    <w:p>
      <w:pPr>
        <w:pStyle w:val="Normal"/>
        <w:tabs>
          <w:tab w:val="left" w:pos="1134" w:leader="none"/>
        </w:tabs>
        <w:spacing w:lineRule="auto" w:line="276" w:before="120" w:after="0"/>
        <w:ind w:left="1134" w:hanging="425"/>
        <w:jc w:val="both"/>
        <w:rPr>
          <w:sz w:val="22"/>
          <w:szCs w:val="22"/>
        </w:rPr>
      </w:pPr>
      <w:r>
        <w:rPr>
          <w:sz w:val="22"/>
          <w:szCs w:val="22"/>
        </w:rPr>
        <w:t xml:space="preserve">b) </w:t>
        <w:tab/>
        <w:t>Wykonawca może powierzyć wykonanie części zamówienia Podwykonawcy;</w:t>
      </w:r>
    </w:p>
    <w:p>
      <w:pPr>
        <w:pStyle w:val="Normal"/>
        <w:tabs>
          <w:tab w:val="left" w:pos="1134" w:leader="none"/>
        </w:tabs>
        <w:spacing w:lineRule="auto" w:line="276" w:before="120" w:after="0"/>
        <w:ind w:left="1134" w:hanging="425"/>
        <w:jc w:val="both"/>
        <w:rPr>
          <w:sz w:val="22"/>
          <w:szCs w:val="22"/>
        </w:rPr>
      </w:pPr>
      <w:r>
        <w:rPr>
          <w:sz w:val="22"/>
          <w:szCs w:val="22"/>
        </w:rPr>
        <w:t xml:space="preserve">c) </w:t>
        <w:tab/>
        <w:t xml:space="preserve">Zamawiający żąda wskazania przez Wykonawcę części zamówienia, których wykonanie zamierza powierzyć Podwykonawcom, a w przypadku, o którym mowa w pkt 10.8 IDW podania przez Wykonawcę firm Podwykonawców; </w:t>
      </w:r>
    </w:p>
    <w:p>
      <w:pPr>
        <w:pStyle w:val="Normal"/>
        <w:tabs>
          <w:tab w:val="left" w:pos="1134" w:leader="none"/>
        </w:tabs>
        <w:spacing w:lineRule="auto" w:line="276" w:before="120" w:after="0"/>
        <w:ind w:left="1134" w:hanging="425"/>
        <w:jc w:val="both"/>
        <w:rPr>
          <w:sz w:val="22"/>
          <w:szCs w:val="22"/>
        </w:rPr>
      </w:pPr>
      <w:r>
        <w:rPr>
          <w:sz w:val="22"/>
          <w:szCs w:val="22"/>
        </w:rPr>
        <w:t xml:space="preserve">d) </w:t>
        <w:tab/>
        <w:t>pozostałe wymagania dotyczące podwykonawstwa zostały określone w Tomie II SIWZ – Wzór umowy.</w:t>
      </w:r>
    </w:p>
    <w:p>
      <w:pPr>
        <w:pStyle w:val="Normal"/>
        <w:tabs>
          <w:tab w:val="left" w:pos="1134" w:leader="none"/>
        </w:tabs>
        <w:spacing w:lineRule="auto" w:line="276" w:before="120" w:after="0"/>
        <w:ind w:left="1134" w:hanging="425"/>
        <w:jc w:val="both"/>
        <w:rPr>
          <w:sz w:val="22"/>
          <w:szCs w:val="22"/>
        </w:rPr>
      </w:pPr>
      <w:r>
        <w:rPr>
          <w:sz w:val="22"/>
          <w:szCs w:val="22"/>
        </w:rPr>
        <w:t>e)   powierzenie</w:t>
      </w:r>
      <w:r>
        <w:rPr>
          <w:rFonts w:eastAsia="Calibri" w:eastAsiaTheme="minorHAnsi"/>
          <w:color w:val="000000"/>
          <w:sz w:val="22"/>
          <w:szCs w:val="22"/>
          <w:lang w:eastAsia="en-US"/>
        </w:rPr>
        <w:t xml:space="preserve"> wykonania części zamówienia podwykonawcom nie zwalania wykonawcy z odpowiedzialności za należyte wykonanie tego zamówienia. </w:t>
      </w:r>
    </w:p>
    <w:p>
      <w:pPr>
        <w:pStyle w:val="Normal"/>
        <w:tabs>
          <w:tab w:val="left" w:pos="1134" w:leader="none"/>
        </w:tabs>
        <w:spacing w:lineRule="auto" w:line="276" w:before="120" w:after="0"/>
        <w:ind w:left="1134" w:hanging="425"/>
        <w:jc w:val="both"/>
        <w:rPr>
          <w:sz w:val="22"/>
          <w:szCs w:val="22"/>
        </w:rPr>
      </w:pPr>
      <w:r>
        <w:rPr>
          <w:sz w:val="22"/>
          <w:szCs w:val="22"/>
        </w:rPr>
      </w:r>
    </w:p>
    <w:p>
      <w:pPr>
        <w:pStyle w:val="Normal"/>
        <w:spacing w:lineRule="auto" w:line="276" w:before="120" w:after="0"/>
        <w:ind w:left="567" w:hanging="0"/>
        <w:jc w:val="both"/>
        <w:rPr>
          <w:b/>
          <w:b/>
          <w:sz w:val="22"/>
          <w:szCs w:val="22"/>
        </w:rPr>
      </w:pPr>
      <w:r>
        <w:rPr>
          <w:b/>
          <w:sz w:val="22"/>
          <w:szCs w:val="22"/>
        </w:rPr>
      </w:r>
    </w:p>
    <w:p>
      <w:pPr>
        <w:pStyle w:val="Normal"/>
        <w:spacing w:lineRule="auto" w:line="276"/>
        <w:rPr>
          <w:b/>
          <w:b/>
          <w:bCs/>
          <w:sz w:val="22"/>
          <w:szCs w:val="22"/>
        </w:rPr>
      </w:pPr>
      <w:r>
        <w:rPr>
          <w:b/>
          <w:bCs/>
          <w:sz w:val="22"/>
          <w:szCs w:val="22"/>
        </w:rPr>
        <w:t xml:space="preserve">6. </w:t>
        <w:tab/>
        <w:t xml:space="preserve">TERMIN REALIZACJI </w:t>
      </w:r>
    </w:p>
    <w:p>
      <w:pPr>
        <w:pStyle w:val="BodyText2"/>
        <w:spacing w:lineRule="auto" w:line="276"/>
        <w:ind w:left="709" w:hanging="709"/>
        <w:rPr>
          <w:b w:val="false"/>
          <w:b w:val="false"/>
          <w:bCs w:val="false"/>
          <w:sz w:val="22"/>
          <w:szCs w:val="22"/>
        </w:rPr>
      </w:pPr>
      <w:r>
        <w:rPr>
          <w:b w:val="false"/>
          <w:bCs w:val="false"/>
          <w:sz w:val="22"/>
          <w:szCs w:val="22"/>
        </w:rPr>
        <w:t>6.1.</w:t>
        <w:tab/>
        <w:t xml:space="preserve">Zamawiający wymaga, aby zamówienie zostało zrealizowane w terminie do dnia 30 listopada 2018r. </w:t>
      </w:r>
    </w:p>
    <w:p>
      <w:pPr>
        <w:pStyle w:val="BodyText2"/>
        <w:spacing w:lineRule="auto" w:line="276" w:before="0" w:after="0"/>
        <w:ind w:left="709" w:hanging="0"/>
        <w:rPr>
          <w:b w:val="false"/>
          <w:b w:val="false"/>
          <w:bCs w:val="false"/>
          <w:sz w:val="22"/>
          <w:szCs w:val="22"/>
        </w:rPr>
      </w:pPr>
      <w:r>
        <w:rPr>
          <w:b w:val="false"/>
          <w:bCs w:val="false"/>
          <w:sz w:val="22"/>
          <w:szCs w:val="22"/>
        </w:rPr>
      </w:r>
    </w:p>
    <w:p>
      <w:pPr>
        <w:pStyle w:val="Normal"/>
        <w:spacing w:lineRule="auto" w:line="276"/>
        <w:rPr>
          <w:b/>
          <w:b/>
          <w:bCs/>
          <w:sz w:val="22"/>
          <w:szCs w:val="22"/>
        </w:rPr>
      </w:pPr>
      <w:r>
        <w:rPr>
          <w:b/>
          <w:bCs/>
          <w:sz w:val="22"/>
          <w:szCs w:val="22"/>
        </w:rPr>
        <w:t xml:space="preserve">7. </w:t>
        <w:tab/>
        <w:t xml:space="preserve">WARUNKI UDZIAŁU W POSTĘPOWANIU </w:t>
      </w:r>
    </w:p>
    <w:p>
      <w:pPr>
        <w:pStyle w:val="BodyText2"/>
        <w:spacing w:lineRule="auto" w:line="276"/>
        <w:ind w:left="709" w:hanging="709"/>
        <w:rPr>
          <w:b w:val="false"/>
          <w:b w:val="false"/>
          <w:sz w:val="22"/>
          <w:szCs w:val="22"/>
        </w:rPr>
      </w:pPr>
      <w:r>
        <w:rPr>
          <w:rStyle w:val="Tekstdokbold"/>
          <w:sz w:val="22"/>
          <w:szCs w:val="22"/>
        </w:rPr>
        <w:t>7.1.</w:t>
        <w:tab/>
        <w:t xml:space="preserve">O udzielenie zamówienia mogą ubiegać się Wykonawcy, którzy nie podlegają wykluczeniu oraz spełniają określone przez Zamawiającego warunki </w:t>
      </w:r>
      <w:r>
        <w:rPr>
          <w:b w:val="false"/>
          <w:sz w:val="22"/>
          <w:szCs w:val="22"/>
        </w:rPr>
        <w:t>udziału w postępowaniu.</w:t>
      </w:r>
    </w:p>
    <w:p>
      <w:pPr>
        <w:pStyle w:val="BodyText2"/>
        <w:spacing w:lineRule="auto" w:line="276"/>
        <w:ind w:left="709" w:hanging="709"/>
        <w:rPr>
          <w:b w:val="false"/>
          <w:b w:val="false"/>
          <w:sz w:val="22"/>
          <w:szCs w:val="22"/>
        </w:rPr>
      </w:pPr>
      <w:r>
        <w:rPr>
          <w:rStyle w:val="Tekstdokbold"/>
          <w:sz w:val="22"/>
          <w:szCs w:val="22"/>
        </w:rPr>
        <w:t>7.2.</w:t>
        <w:tab/>
      </w:r>
      <w:r>
        <w:rPr>
          <w:b w:val="false"/>
          <w:sz w:val="22"/>
          <w:szCs w:val="22"/>
        </w:rPr>
        <w:t>O udzielenie zamówienia mogą ubiegać się Wykonawcy, którzy spełniają warunki dotyczące:</w:t>
      </w:r>
    </w:p>
    <w:p>
      <w:pPr>
        <w:pStyle w:val="BodyText2"/>
        <w:tabs>
          <w:tab w:val="left" w:pos="993" w:leader="none"/>
        </w:tabs>
        <w:spacing w:lineRule="auto" w:line="276"/>
        <w:ind w:left="709" w:hanging="709"/>
        <w:rPr>
          <w:b w:val="false"/>
          <w:b w:val="false"/>
          <w:sz w:val="22"/>
          <w:szCs w:val="22"/>
        </w:rPr>
      </w:pPr>
      <w:r>
        <w:rPr>
          <w:b w:val="false"/>
          <w:bCs w:val="false"/>
          <w:sz w:val="22"/>
          <w:szCs w:val="22"/>
        </w:rPr>
        <w:t xml:space="preserve">    </w:t>
      </w:r>
      <w:r>
        <w:rPr>
          <w:b w:val="false"/>
          <w:bCs w:val="false"/>
          <w:sz w:val="22"/>
          <w:szCs w:val="22"/>
        </w:rPr>
        <w:t xml:space="preserve">7.2.1. </w:t>
        <w:tab/>
        <w:t>k</w:t>
      </w:r>
      <w:r>
        <w:rPr>
          <w:b w:val="false"/>
          <w:sz w:val="22"/>
          <w:szCs w:val="22"/>
        </w:rPr>
        <w:t>ompetencji lub uprawnień do prowadzenia określonej działalności zawodowej, o ile wynika to z odrębnych przepisów:</w:t>
      </w:r>
    </w:p>
    <w:p>
      <w:pPr>
        <w:pStyle w:val="Pkt"/>
        <w:spacing w:lineRule="auto" w:line="276"/>
        <w:ind w:left="709" w:hanging="0"/>
        <w:rPr>
          <w:rStyle w:val="SubtleEmphasis"/>
          <w:color w:val="00000A"/>
          <w:sz w:val="22"/>
          <w:szCs w:val="22"/>
        </w:rPr>
      </w:pPr>
      <w:r>
        <w:rPr>
          <w:i/>
          <w:sz w:val="22"/>
          <w:szCs w:val="22"/>
        </w:rPr>
        <w:t>„</w:t>
      </w:r>
      <w:r>
        <w:rPr>
          <w:i/>
          <w:sz w:val="22"/>
          <w:szCs w:val="22"/>
        </w:rPr>
        <w:t xml:space="preserve">Nie dotyczy” </w:t>
      </w:r>
    </w:p>
    <w:p>
      <w:pPr>
        <w:pStyle w:val="BodyText2"/>
        <w:tabs>
          <w:tab w:val="left" w:pos="993" w:leader="none"/>
        </w:tabs>
        <w:spacing w:lineRule="auto" w:line="276"/>
        <w:ind w:left="709" w:hanging="425"/>
        <w:rPr>
          <w:b w:val="false"/>
          <w:b w:val="false"/>
          <w:sz w:val="22"/>
          <w:szCs w:val="22"/>
        </w:rPr>
      </w:pPr>
      <w:r>
        <w:rPr>
          <w:b w:val="false"/>
          <w:bCs w:val="false"/>
          <w:sz w:val="22"/>
          <w:szCs w:val="22"/>
        </w:rPr>
        <w:t>7.2.2.</w:t>
        <w:tab/>
      </w:r>
      <w:r>
        <w:rPr>
          <w:b w:val="false"/>
          <w:sz w:val="22"/>
          <w:szCs w:val="22"/>
        </w:rPr>
        <w:t>sytuacji ekonomicznej lub finansowej:</w:t>
      </w:r>
    </w:p>
    <w:p>
      <w:pPr>
        <w:pStyle w:val="Pkt"/>
        <w:spacing w:lineRule="auto" w:line="276"/>
        <w:ind w:left="709" w:hanging="0"/>
        <w:rPr>
          <w:rStyle w:val="SubtleEmphasis"/>
          <w:color w:val="00000A"/>
          <w:sz w:val="22"/>
          <w:szCs w:val="22"/>
        </w:rPr>
      </w:pPr>
      <w:r>
        <w:rPr>
          <w:i/>
          <w:sz w:val="22"/>
          <w:szCs w:val="22"/>
        </w:rPr>
        <w:t>„</w:t>
      </w:r>
      <w:r>
        <w:rPr>
          <w:i/>
          <w:sz w:val="22"/>
          <w:szCs w:val="22"/>
        </w:rPr>
        <w:t xml:space="preserve">Nie dotyczy” </w:t>
      </w:r>
    </w:p>
    <w:p>
      <w:pPr>
        <w:pStyle w:val="BodyText2"/>
        <w:spacing w:lineRule="auto" w:line="276"/>
        <w:ind w:left="709" w:hanging="425"/>
        <w:rPr>
          <w:b w:val="false"/>
          <w:b w:val="false"/>
          <w:sz w:val="22"/>
          <w:szCs w:val="22"/>
        </w:rPr>
      </w:pPr>
      <w:r>
        <w:rPr>
          <w:b w:val="false"/>
          <w:sz w:val="22"/>
          <w:szCs w:val="22"/>
        </w:rPr>
        <w:t>7.2.3. zdolności technicznej lub zawodowej Wykonawcy:</w:t>
      </w:r>
    </w:p>
    <w:p>
      <w:pPr>
        <w:pStyle w:val="Normal"/>
        <w:spacing w:lineRule="auto" w:line="276"/>
        <w:ind w:left="709" w:hanging="0"/>
        <w:jc w:val="both"/>
        <w:rPr>
          <w:sz w:val="22"/>
          <w:szCs w:val="22"/>
        </w:rPr>
      </w:pPr>
      <w:r>
        <w:rPr>
          <w:sz w:val="22"/>
          <w:szCs w:val="22"/>
        </w:rPr>
        <w:t>Wykonawca musi wykazać się wiedzą i doświadczeniem  w wykonaniu (zakończeniu) w okresie ostatnich 5 lat przed upływem terminu składania ofert, a jeżeli okres prowadzenia działalności jest krótszy – w tym okresie, co najmniej:</w:t>
      </w:r>
    </w:p>
    <w:p>
      <w:pPr>
        <w:pStyle w:val="Normal"/>
        <w:spacing w:lineRule="auto" w:line="276"/>
        <w:ind w:left="709" w:hanging="0"/>
        <w:jc w:val="both"/>
        <w:rPr>
          <w:sz w:val="22"/>
          <w:szCs w:val="22"/>
        </w:rPr>
      </w:pPr>
      <w:r>
        <w:rPr>
          <w:sz w:val="22"/>
          <w:szCs w:val="22"/>
        </w:rPr>
        <w:t>- jednej roboty polegającej na remoncie budynku użyteczności publicznej.</w:t>
      </w:r>
    </w:p>
    <w:p>
      <w:pPr>
        <w:pStyle w:val="Normal"/>
        <w:spacing w:lineRule="auto" w:line="276"/>
        <w:ind w:left="709" w:hanging="0"/>
        <w:jc w:val="both"/>
        <w:rPr>
          <w:b/>
          <w:b/>
          <w:sz w:val="22"/>
          <w:szCs w:val="22"/>
        </w:rPr>
      </w:pPr>
      <w:r>
        <w:rPr>
          <w:b/>
          <w:sz w:val="22"/>
          <w:szCs w:val="22"/>
        </w:rPr>
      </w:r>
    </w:p>
    <w:p>
      <w:pPr>
        <w:pStyle w:val="BodyText2"/>
        <w:spacing w:lineRule="auto" w:line="276"/>
        <w:ind w:left="709" w:hanging="709"/>
        <w:rPr>
          <w:b w:val="false"/>
          <w:b w:val="false"/>
          <w:sz w:val="22"/>
          <w:szCs w:val="22"/>
        </w:rPr>
      </w:pPr>
      <w:r>
        <w:rPr>
          <w:b w:val="false"/>
          <w:sz w:val="22"/>
          <w:szCs w:val="22"/>
        </w:rPr>
        <w:t>7.3.</w:t>
        <w:tab/>
      </w:r>
      <w:r>
        <w:rPr>
          <w:sz w:val="23"/>
          <w:szCs w:val="23"/>
        </w:rPr>
        <w:t>Ocena spełniania warunków udziału w postępowaniu dokonana zostanie zgodnie z formułą „spełnia”/„nie spełnia”, w oparciu o informacje zawarte w oświadczeniach, następnie potwierdzonych w dokumentach lub oświadczeniach złożonych przez Wykonawców.</w:t>
      </w:r>
    </w:p>
    <w:p>
      <w:pPr>
        <w:pStyle w:val="BodyText2"/>
        <w:spacing w:lineRule="auto" w:line="276"/>
        <w:ind w:left="709" w:hanging="709"/>
        <w:rPr>
          <w:sz w:val="22"/>
          <w:szCs w:val="22"/>
        </w:rPr>
      </w:pPr>
      <w:r>
        <w:rPr>
          <w:b w:val="false"/>
          <w:sz w:val="22"/>
          <w:szCs w:val="22"/>
        </w:rPr>
        <w:t xml:space="preserve">7.4 </w:t>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Normal"/>
        <w:spacing w:lineRule="auto" w:line="276" w:before="120" w:after="0"/>
        <w:ind w:left="720" w:hanging="720"/>
        <w:jc w:val="both"/>
        <w:rPr>
          <w:b/>
          <w:b/>
          <w:sz w:val="22"/>
          <w:szCs w:val="22"/>
        </w:rPr>
      </w:pPr>
      <w:r>
        <w:rPr>
          <w:b/>
          <w:sz w:val="22"/>
          <w:szCs w:val="22"/>
        </w:rPr>
        <w:t xml:space="preserve">8. </w:t>
        <w:tab/>
        <w:t>PRZESŁANKI WYKLUCZENIA WYKONAWCÓW</w:t>
      </w:r>
    </w:p>
    <w:p>
      <w:pPr>
        <w:pStyle w:val="BodyText2"/>
        <w:spacing w:lineRule="auto" w:line="276"/>
        <w:ind w:left="709" w:hanging="709"/>
        <w:rPr>
          <w:b w:val="false"/>
          <w:b w:val="false"/>
          <w:sz w:val="22"/>
          <w:szCs w:val="22"/>
        </w:rPr>
      </w:pPr>
      <w:r>
        <w:rPr>
          <w:b w:val="false"/>
          <w:sz w:val="22"/>
          <w:szCs w:val="22"/>
        </w:rPr>
        <w:t>8.1.</w:t>
        <w:tab/>
        <w:t>Z postępowania o udzielenie zamówienia wyklucza się Wykonawcę, w stosunku do którego zachodzi którakolwiek z okoliczności, o których mowa w art. 24 ust. 1 pkt 12 – 23 ustawy Pzp.</w:t>
      </w:r>
    </w:p>
    <w:p>
      <w:pPr>
        <w:pStyle w:val="BodyText2"/>
        <w:spacing w:lineRule="auto" w:line="276"/>
        <w:ind w:left="709" w:hanging="709"/>
        <w:rPr>
          <w:b w:val="false"/>
          <w:b w:val="false"/>
          <w:sz w:val="22"/>
          <w:szCs w:val="22"/>
        </w:rPr>
      </w:pPr>
      <w:r>
        <w:rPr>
          <w:b w:val="false"/>
          <w:sz w:val="22"/>
          <w:szCs w:val="22"/>
        </w:rPr>
        <w:t>8.2.</w:t>
        <w:tab/>
        <w:t>Dodatkowo Zamawiający wykluczy Wykonawcę:</w:t>
      </w:r>
    </w:p>
    <w:p>
      <w:pPr>
        <w:pStyle w:val="BodyText2"/>
        <w:spacing w:lineRule="auto" w:line="276"/>
        <w:ind w:left="709" w:hanging="425"/>
        <w:rPr>
          <w:b w:val="false"/>
          <w:b w:val="false"/>
          <w:sz w:val="22"/>
          <w:szCs w:val="22"/>
        </w:rPr>
      </w:pPr>
      <w:r>
        <w:rPr>
          <w:b w:val="false"/>
          <w:bCs w:val="false"/>
          <w:sz w:val="22"/>
          <w:szCs w:val="22"/>
        </w:rPr>
        <w:t>1)</w:t>
        <w:tab/>
      </w:r>
      <w:r>
        <w:rPr>
          <w:b w:val="false"/>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pPr>
        <w:pStyle w:val="BodyText2"/>
        <w:spacing w:lineRule="auto" w:line="276"/>
        <w:ind w:left="709" w:hanging="425"/>
        <w:rPr>
          <w:b w:val="false"/>
          <w:b w:val="false"/>
          <w:sz w:val="22"/>
          <w:szCs w:val="22"/>
        </w:rPr>
      </w:pPr>
      <w:r>
        <w:rPr>
          <w:b w:val="false"/>
          <w:bCs w:val="false"/>
          <w:sz w:val="22"/>
          <w:szCs w:val="22"/>
        </w:rPr>
        <w:t>2)</w:t>
        <w:tab/>
      </w:r>
      <w:r>
        <w:rPr>
          <w:b w:val="false"/>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pPr>
        <w:pStyle w:val="BodyText2"/>
        <w:spacing w:lineRule="auto" w:line="276"/>
        <w:ind w:left="709" w:hanging="425"/>
        <w:rPr>
          <w:b w:val="false"/>
          <w:b w:val="false"/>
          <w:sz w:val="22"/>
          <w:szCs w:val="22"/>
        </w:rPr>
      </w:pPr>
      <w:r>
        <w:rPr>
          <w:b w:val="false"/>
          <w:bCs w:val="false"/>
          <w:sz w:val="22"/>
          <w:szCs w:val="22"/>
        </w:rPr>
        <w:t>3)</w:t>
        <w:tab/>
      </w:r>
      <w:r>
        <w:rPr>
          <w:b w:val="false"/>
          <w:sz w:val="22"/>
          <w:szCs w:val="22"/>
        </w:rPr>
        <w:t>jeżeli Wykonawca lub osoby, o których mowa art. 24 w ust. 1 pkt 14 ustawy Pzp, uprawnione do reprezentowania Wykonawcy pozostają w relacjach określonych w art. 17 ust. 1 pkt 2–4 ustawy Pzp z:</w:t>
      </w:r>
    </w:p>
    <w:p>
      <w:pPr>
        <w:pStyle w:val="BodyText2"/>
        <w:tabs>
          <w:tab w:val="left" w:pos="1134" w:leader="none"/>
        </w:tabs>
        <w:spacing w:lineRule="auto" w:line="276"/>
        <w:ind w:left="709" w:hanging="0"/>
        <w:rPr>
          <w:b w:val="false"/>
          <w:b w:val="false"/>
          <w:sz w:val="22"/>
          <w:szCs w:val="22"/>
        </w:rPr>
      </w:pPr>
      <w:r>
        <w:rPr>
          <w:b w:val="false"/>
          <w:bCs w:val="false"/>
          <w:sz w:val="22"/>
          <w:szCs w:val="22"/>
        </w:rPr>
        <w:t xml:space="preserve">a) </w:t>
        <w:tab/>
      </w:r>
      <w:r>
        <w:rPr>
          <w:b w:val="false"/>
          <w:sz w:val="22"/>
          <w:szCs w:val="22"/>
        </w:rPr>
        <w:t>Zamawiającym,</w:t>
      </w:r>
    </w:p>
    <w:p>
      <w:pPr>
        <w:pStyle w:val="BodyText2"/>
        <w:tabs>
          <w:tab w:val="left" w:pos="1134" w:leader="none"/>
        </w:tabs>
        <w:spacing w:lineRule="auto" w:line="276" w:before="0" w:after="0"/>
        <w:ind w:left="709" w:hanging="0"/>
        <w:rPr>
          <w:b w:val="false"/>
          <w:b w:val="false"/>
          <w:sz w:val="22"/>
          <w:szCs w:val="22"/>
        </w:rPr>
      </w:pPr>
      <w:r>
        <w:rPr>
          <w:b w:val="false"/>
          <w:bCs w:val="false"/>
          <w:sz w:val="22"/>
          <w:szCs w:val="22"/>
        </w:rPr>
        <w:t xml:space="preserve">b) </w:t>
        <w:tab/>
      </w:r>
      <w:r>
        <w:rPr>
          <w:b w:val="false"/>
          <w:sz w:val="22"/>
          <w:szCs w:val="22"/>
        </w:rPr>
        <w:t>osobami uprawnionymi do reprezentowania Zamawiającego,</w:t>
      </w:r>
    </w:p>
    <w:p>
      <w:pPr>
        <w:pStyle w:val="BodyText2"/>
        <w:tabs>
          <w:tab w:val="left" w:pos="1134" w:leader="none"/>
        </w:tabs>
        <w:spacing w:lineRule="auto" w:line="276" w:before="0" w:after="0"/>
        <w:ind w:left="709" w:hanging="0"/>
        <w:rPr>
          <w:b w:val="false"/>
          <w:b w:val="false"/>
          <w:sz w:val="22"/>
          <w:szCs w:val="22"/>
        </w:rPr>
      </w:pPr>
      <w:r>
        <w:rPr>
          <w:b w:val="false"/>
          <w:bCs w:val="false"/>
          <w:sz w:val="22"/>
          <w:szCs w:val="22"/>
        </w:rPr>
        <w:t xml:space="preserve">c) </w:t>
        <w:tab/>
      </w:r>
      <w:r>
        <w:rPr>
          <w:b w:val="false"/>
          <w:sz w:val="22"/>
          <w:szCs w:val="22"/>
        </w:rPr>
        <w:t>członkami komisji przetargowej,</w:t>
      </w:r>
    </w:p>
    <w:p>
      <w:pPr>
        <w:pStyle w:val="BodyText2"/>
        <w:tabs>
          <w:tab w:val="left" w:pos="1134" w:leader="none"/>
        </w:tabs>
        <w:spacing w:lineRule="auto" w:line="276" w:before="0" w:after="0"/>
        <w:ind w:left="1134" w:hanging="425"/>
        <w:rPr>
          <w:b w:val="false"/>
          <w:b w:val="false"/>
          <w:sz w:val="22"/>
          <w:szCs w:val="22"/>
        </w:rPr>
      </w:pPr>
      <w:r>
        <w:rPr>
          <w:b w:val="false"/>
          <w:bCs w:val="false"/>
          <w:sz w:val="22"/>
          <w:szCs w:val="22"/>
        </w:rPr>
        <w:t xml:space="preserve">d) </w:t>
        <w:tab/>
      </w:r>
      <w:r>
        <w:rPr>
          <w:b w:val="false"/>
          <w:sz w:val="22"/>
          <w:szCs w:val="22"/>
        </w:rPr>
        <w:t xml:space="preserve">osobami, które złożyły oświadczenie, o którym mowa w art. 17 ust. 2a ustawy Pzp – chyba że jest możliwe zapewnienie bezstronności po stronie Zamawiającego w inny sposób niż przez wykluczenie Wykonawcy z udziału w postępowaniu; </w:t>
      </w:r>
    </w:p>
    <w:p>
      <w:pPr>
        <w:pStyle w:val="BodyText2"/>
        <w:spacing w:lineRule="auto" w:line="276"/>
        <w:ind w:left="709" w:hanging="425"/>
        <w:rPr>
          <w:b w:val="false"/>
          <w:b w:val="false"/>
          <w:sz w:val="22"/>
          <w:szCs w:val="22"/>
        </w:rPr>
      </w:pPr>
      <w:r>
        <w:rPr>
          <w:b w:val="false"/>
          <w:bCs w:val="false"/>
          <w:sz w:val="22"/>
          <w:szCs w:val="22"/>
        </w:rPr>
        <w:t>4)</w:t>
        <w:tab/>
      </w:r>
      <w:r>
        <w:rPr>
          <w:b w:val="false"/>
          <w:sz w:val="22"/>
          <w:szCs w:val="22"/>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pPr>
        <w:pStyle w:val="BodyText2"/>
        <w:spacing w:lineRule="auto" w:line="276"/>
        <w:ind w:left="709" w:hanging="425"/>
        <w:rPr>
          <w:b w:val="false"/>
          <w:b w:val="false"/>
          <w:sz w:val="22"/>
          <w:szCs w:val="22"/>
        </w:rPr>
      </w:pPr>
      <w:r>
        <w:rPr>
          <w:b w:val="false"/>
          <w:bCs w:val="false"/>
          <w:sz w:val="22"/>
          <w:szCs w:val="22"/>
        </w:rPr>
        <w:t>5)</w:t>
        <w:tab/>
      </w:r>
      <w:r>
        <w:rPr>
          <w:b w:val="false"/>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pPr>
        <w:pStyle w:val="BodyText2"/>
        <w:spacing w:lineRule="auto" w:line="276"/>
        <w:ind w:left="709" w:hanging="425"/>
        <w:rPr>
          <w:b w:val="false"/>
          <w:b w:val="false"/>
          <w:sz w:val="22"/>
          <w:szCs w:val="22"/>
        </w:rPr>
      </w:pPr>
      <w:r>
        <w:rPr>
          <w:b w:val="false"/>
          <w:bCs w:val="false"/>
          <w:sz w:val="22"/>
          <w:szCs w:val="22"/>
        </w:rPr>
        <w:t>6)</w:t>
        <w:tab/>
      </w:r>
      <w:r>
        <w:rPr>
          <w:b w:val="false"/>
          <w:sz w:val="22"/>
          <w:szCs w:val="22"/>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pPr>
        <w:pStyle w:val="BodyText2"/>
        <w:spacing w:lineRule="auto" w:line="276"/>
        <w:ind w:left="709" w:hanging="425"/>
        <w:rPr>
          <w:b w:val="false"/>
          <w:b w:val="false"/>
          <w:sz w:val="22"/>
          <w:szCs w:val="22"/>
        </w:rPr>
      </w:pPr>
      <w:r>
        <w:rPr>
          <w:b w:val="false"/>
          <w:bCs w:val="false"/>
          <w:sz w:val="22"/>
          <w:szCs w:val="22"/>
        </w:rPr>
        <w:t>7)</w:t>
        <w:tab/>
      </w:r>
      <w:r>
        <w:rPr>
          <w:b w:val="false"/>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pPr>
        <w:pStyle w:val="BodyText2"/>
        <w:spacing w:lineRule="auto" w:line="276"/>
        <w:ind w:left="709" w:hanging="425"/>
        <w:rPr>
          <w:b w:val="false"/>
          <w:b w:val="false"/>
          <w:sz w:val="22"/>
          <w:szCs w:val="22"/>
        </w:rPr>
      </w:pPr>
      <w:r>
        <w:rPr>
          <w:b w:val="false"/>
          <w:bCs w:val="false"/>
          <w:sz w:val="22"/>
          <w:szCs w:val="22"/>
        </w:rPr>
        <w:t>8)</w:t>
        <w:tab/>
      </w:r>
      <w:r>
        <w:rPr>
          <w:b w:val="false"/>
          <w:sz w:val="22"/>
          <w:szCs w:val="22"/>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pPr>
        <w:pStyle w:val="BodyText2"/>
        <w:spacing w:lineRule="auto" w:line="276"/>
        <w:ind w:left="709" w:hanging="709"/>
        <w:rPr>
          <w:b w:val="false"/>
          <w:b w:val="false"/>
          <w:sz w:val="22"/>
          <w:szCs w:val="22"/>
        </w:rPr>
      </w:pPr>
      <w:r>
        <w:rPr>
          <w:b w:val="false"/>
          <w:sz w:val="22"/>
          <w:szCs w:val="22"/>
        </w:rPr>
        <w:t>8.3.</w:t>
        <w:tab/>
        <w:t>Wykluczenie Wykonawcy następuje zgodnie z art. 24 ust. 7 ustawy Pzp.</w:t>
      </w:r>
    </w:p>
    <w:p>
      <w:pPr>
        <w:pStyle w:val="BodyText2"/>
        <w:spacing w:lineRule="auto" w:line="276"/>
        <w:ind w:left="709" w:hanging="709"/>
        <w:rPr>
          <w:b w:val="false"/>
          <w:b w:val="false"/>
          <w:sz w:val="22"/>
          <w:szCs w:val="22"/>
        </w:rPr>
      </w:pPr>
      <w:r>
        <w:rPr>
          <w:b w:val="false"/>
          <w:sz w:val="22"/>
          <w:szCs w:val="22"/>
        </w:rPr>
        <w:t>8.4.</w:t>
        <w:tab/>
        <w:t>Wykonawca, który podlega wykluczeniu na podstawie art. 24 ust. 1 pkt 13 i 14 oraz 16–20 ustawy Pzp lub</w:t>
      </w:r>
      <w:r>
        <w:rPr>
          <w:sz w:val="22"/>
          <w:szCs w:val="22"/>
        </w:rPr>
        <w:t xml:space="preserve"> </w:t>
      </w:r>
      <w:r>
        <w:rPr>
          <w:b w:val="false"/>
          <w:sz w:val="22"/>
          <w:szCs w:val="22"/>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pPr>
        <w:pStyle w:val="BodyText2"/>
        <w:spacing w:lineRule="auto" w:line="276"/>
        <w:ind w:left="709" w:hanging="0"/>
        <w:rPr>
          <w:b w:val="false"/>
          <w:b w:val="false"/>
          <w:sz w:val="22"/>
          <w:szCs w:val="22"/>
        </w:rPr>
      </w:pPr>
      <w:r>
        <w:rPr>
          <w:b w:val="false"/>
          <w:sz w:val="22"/>
          <w:szCs w:val="22"/>
        </w:rPr>
        <w:t>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pPr>
        <w:pStyle w:val="BodyText2"/>
        <w:spacing w:lineRule="auto" w:line="276"/>
        <w:ind w:left="709" w:hanging="709"/>
        <w:rPr>
          <w:b w:val="false"/>
          <w:b w:val="false"/>
          <w:sz w:val="22"/>
          <w:szCs w:val="22"/>
        </w:rPr>
      </w:pPr>
      <w:r>
        <w:rPr>
          <w:b w:val="false"/>
          <w:sz w:val="22"/>
          <w:szCs w:val="22"/>
        </w:rPr>
        <w:t>8.5.</w:t>
        <w:tab/>
        <w:t>Wykonawca nie podlega wykluczeniu, jeżeli Zamawiający, uwzględniając wagę i szczególne okoliczności czynu Wykonawcy, uzna za wystarczające dowody przedstawione na podstawie pkt. 8.4 IDW.</w:t>
      </w:r>
    </w:p>
    <w:p>
      <w:pPr>
        <w:pStyle w:val="BodyText2"/>
        <w:spacing w:lineRule="auto" w:line="276"/>
        <w:ind w:left="709" w:hanging="709"/>
        <w:rPr>
          <w:b w:val="false"/>
          <w:b w:val="false"/>
          <w:sz w:val="22"/>
          <w:szCs w:val="22"/>
        </w:rPr>
      </w:pPr>
      <w:r>
        <w:rPr>
          <w:b w:val="false"/>
          <w:sz w:val="22"/>
          <w:szCs w:val="22"/>
        </w:rPr>
        <w:t>8.6.</w:t>
        <w:tab/>
        <w:t>Zamawiający może wykluczyć Wykonawcę na każdym etapie postępowania o udzielenie zamówienia.</w:t>
      </w:r>
    </w:p>
    <w:p>
      <w:pPr>
        <w:pStyle w:val="Normal"/>
        <w:spacing w:lineRule="auto" w:line="276"/>
        <w:ind w:left="709" w:hanging="0"/>
        <w:jc w:val="both"/>
        <w:rPr>
          <w:sz w:val="22"/>
          <w:szCs w:val="22"/>
        </w:rPr>
      </w:pPr>
      <w:r>
        <w:rPr>
          <w:sz w:val="22"/>
          <w:szCs w:val="22"/>
        </w:rPr>
      </w:r>
    </w:p>
    <w:p>
      <w:pPr>
        <w:pStyle w:val="Normal"/>
        <w:spacing w:lineRule="auto" w:line="276"/>
        <w:ind w:left="720" w:hanging="720"/>
        <w:jc w:val="both"/>
        <w:rPr>
          <w:rStyle w:val="Tekstdokbold"/>
          <w:sz w:val="22"/>
          <w:szCs w:val="22"/>
        </w:rPr>
      </w:pPr>
      <w:r>
        <w:rPr>
          <w:b/>
          <w:sz w:val="22"/>
          <w:szCs w:val="22"/>
        </w:rPr>
        <w:t xml:space="preserve">9. </w:t>
        <w:tab/>
      </w:r>
      <w:r>
        <w:rPr>
          <w:rStyle w:val="Tekstdokbold"/>
          <w:sz w:val="22"/>
          <w:szCs w:val="22"/>
        </w:rPr>
        <w:t>OŚWIADCZENIA I DOKUMENTY, JAKIE ZOBOWIĄZANI SĄ DOSTARCZYĆ WYKONAWCY W CELU WYKAZANIA BRAKU PODSTAW WYKLUCZENIA ORAZ POTWIERDZENIA SPEŁNIANIA WARUNKÓW UDZIAŁU W POSTĘPOWANIU</w:t>
      </w:r>
    </w:p>
    <w:p>
      <w:pPr>
        <w:pStyle w:val="BodyText2"/>
        <w:spacing w:lineRule="auto" w:line="276"/>
        <w:ind w:left="709" w:hanging="709"/>
        <w:rPr>
          <w:b w:val="false"/>
          <w:b w:val="false"/>
          <w:sz w:val="22"/>
          <w:szCs w:val="22"/>
        </w:rPr>
      </w:pPr>
      <w:r>
        <w:rPr>
          <w:b w:val="false"/>
          <w:sz w:val="22"/>
          <w:szCs w:val="22"/>
        </w:rPr>
        <w:t>9.1.</w:t>
        <w:tab/>
        <w:t>Do oferty Wykonawca zobowiązany jest dołączyć aktualne na dzień składania ofert oświadczenie stanowiące wstępne potwierdzenie, że Wykonawca:</w:t>
      </w:r>
    </w:p>
    <w:p>
      <w:pPr>
        <w:pStyle w:val="BodyText2"/>
        <w:tabs>
          <w:tab w:val="left" w:pos="1134" w:leader="none"/>
        </w:tabs>
        <w:spacing w:lineRule="auto" w:line="276"/>
        <w:ind w:left="709" w:hanging="0"/>
        <w:rPr>
          <w:b w:val="false"/>
          <w:b w:val="false"/>
          <w:sz w:val="22"/>
          <w:szCs w:val="22"/>
        </w:rPr>
      </w:pPr>
      <w:r>
        <w:rPr>
          <w:b w:val="false"/>
          <w:bCs w:val="false"/>
          <w:sz w:val="22"/>
          <w:szCs w:val="22"/>
        </w:rPr>
        <w:t>a)</w:t>
        <w:tab/>
      </w:r>
      <w:r>
        <w:rPr>
          <w:b w:val="false"/>
          <w:sz w:val="22"/>
          <w:szCs w:val="22"/>
        </w:rPr>
        <w:t>nie podlega wykluczeniu;</w:t>
      </w:r>
    </w:p>
    <w:p>
      <w:pPr>
        <w:pStyle w:val="BodyText2"/>
        <w:tabs>
          <w:tab w:val="left" w:pos="1134" w:leader="none"/>
        </w:tabs>
        <w:spacing w:lineRule="auto" w:line="276"/>
        <w:ind w:left="709" w:hanging="0"/>
        <w:rPr>
          <w:b w:val="false"/>
          <w:b w:val="false"/>
          <w:sz w:val="22"/>
          <w:szCs w:val="22"/>
        </w:rPr>
      </w:pPr>
      <w:r>
        <w:rPr>
          <w:b w:val="false"/>
          <w:sz w:val="22"/>
          <w:szCs w:val="22"/>
        </w:rPr>
        <w:t>b)</w:t>
        <w:tab/>
        <w:t>spełnia warunki udziału w postępowaniu.</w:t>
      </w:r>
    </w:p>
    <w:p>
      <w:pPr>
        <w:pStyle w:val="BodyText2"/>
        <w:spacing w:lineRule="auto" w:line="276"/>
        <w:ind w:left="709" w:hanging="709"/>
        <w:rPr>
          <w:b w:val="false"/>
          <w:b w:val="false"/>
          <w:sz w:val="22"/>
          <w:szCs w:val="22"/>
        </w:rPr>
      </w:pPr>
      <w:r>
        <w:rPr>
          <w:b w:val="false"/>
          <w:sz w:val="22"/>
          <w:szCs w:val="22"/>
        </w:rPr>
        <w:t>9.2.</w:t>
        <w:tab/>
        <w:t xml:space="preserve">Oświadczenie, o którym mowa w pkt 9.1. IDW Wykonawca zobowiązany jest złożyć zgodnie z wzorem, który stanowi </w:t>
      </w:r>
      <w:r>
        <w:rPr>
          <w:sz w:val="22"/>
          <w:szCs w:val="22"/>
        </w:rPr>
        <w:t>Załącznik  2 i 3</w:t>
      </w:r>
    </w:p>
    <w:p>
      <w:pPr>
        <w:pStyle w:val="BodyText2"/>
        <w:spacing w:lineRule="auto" w:line="276"/>
        <w:ind w:left="709" w:hanging="709"/>
        <w:rPr>
          <w:b w:val="false"/>
          <w:b w:val="false"/>
          <w:sz w:val="22"/>
          <w:szCs w:val="22"/>
        </w:rPr>
      </w:pPr>
      <w:r>
        <w:rPr>
          <w:b w:val="false"/>
          <w:sz w:val="22"/>
          <w:szCs w:val="22"/>
        </w:rPr>
        <w:t>9.3.</w:t>
        <w:tab/>
        <w:t>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pPr>
        <w:pStyle w:val="BodyText2"/>
        <w:spacing w:lineRule="auto" w:line="276"/>
        <w:ind w:left="709" w:hanging="709"/>
        <w:rPr>
          <w:b w:val="false"/>
          <w:b w:val="false"/>
          <w:sz w:val="22"/>
          <w:szCs w:val="22"/>
        </w:rPr>
      </w:pPr>
      <w:r>
        <w:rPr>
          <w:b w:val="false"/>
          <w:sz w:val="22"/>
          <w:szCs w:val="22"/>
        </w:rPr>
        <w:t>9.4.</w:t>
        <w:tab/>
        <w:t>Zamawiający przed udzieleniem zamówienia, wezwie Wykonawcę, którego oferta została oceniona najwyżej, do złożenia w wyznaczonym, nie krótszym niż 5 dni</w:t>
      </w:r>
      <w:r>
        <w:rPr>
          <w:b w:val="false"/>
          <w:i/>
          <w:sz w:val="22"/>
          <w:szCs w:val="22"/>
        </w:rPr>
        <w:t xml:space="preserve"> </w:t>
      </w:r>
      <w:r>
        <w:rPr>
          <w:b w:val="false"/>
          <w:sz w:val="22"/>
          <w:szCs w:val="22"/>
        </w:rPr>
        <w:t>terminie, aktualnych na dzień złożenia, oświadczeń lub dokumentów, potwierdzających okoliczności, o których mowa w art. 25 ust. 1 ustawy Pzp.</w:t>
      </w:r>
    </w:p>
    <w:p>
      <w:pPr>
        <w:pStyle w:val="BodyText2"/>
        <w:spacing w:lineRule="auto" w:line="276"/>
        <w:ind w:left="709" w:hanging="709"/>
        <w:rPr>
          <w:b w:val="false"/>
          <w:b w:val="false"/>
          <w:sz w:val="22"/>
          <w:szCs w:val="22"/>
        </w:rPr>
      </w:pPr>
      <w:r>
        <w:rPr>
          <w:b w:val="false"/>
          <w:sz w:val="22"/>
          <w:szCs w:val="22"/>
        </w:rPr>
        <w:t>9.5.</w:t>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pPr>
        <w:pStyle w:val="BodyText2"/>
        <w:spacing w:lineRule="auto" w:line="276"/>
        <w:ind w:left="709" w:hanging="709"/>
        <w:rPr>
          <w:b w:val="false"/>
          <w:b w:val="false"/>
          <w:sz w:val="22"/>
          <w:szCs w:val="22"/>
        </w:rPr>
      </w:pPr>
      <w:r>
        <w:rPr>
          <w:b w:val="false"/>
          <w:sz w:val="22"/>
          <w:szCs w:val="22"/>
        </w:rPr>
        <w:t>9.6.</w:t>
        <w:tab/>
        <w:t>Zamawiający, zgodnie z art. 24 aa ustawy Pzp, w pierwszej kolejności dokona oceny ofert, a następnie zbada, czy Wykonawca, którego oferta została oceniona jako najkorzystniejsza nie podlega wykluczeniu oraz spełnia warunki udziału w postępowaniu.</w:t>
      </w:r>
    </w:p>
    <w:p>
      <w:pPr>
        <w:pStyle w:val="BodyText2"/>
        <w:spacing w:lineRule="auto" w:line="276"/>
        <w:ind w:left="709" w:hanging="709"/>
        <w:rPr>
          <w:b w:val="false"/>
          <w:b w:val="false"/>
          <w:sz w:val="22"/>
          <w:szCs w:val="22"/>
        </w:rPr>
      </w:pPr>
      <w:r>
        <w:rPr>
          <w:b w:val="false"/>
          <w:sz w:val="22"/>
          <w:szCs w:val="22"/>
        </w:rPr>
        <w:t>9.7.</w:t>
        <w:tab/>
        <w:t>Na wezwanie Zamawiającego Wykonawca zobowiązany jest do złożenia</w:t>
      </w:r>
      <w:r>
        <w:rPr>
          <w:b w:val="false"/>
          <w:sz w:val="22"/>
          <w:szCs w:val="22"/>
          <w:u w:val="single"/>
        </w:rPr>
        <w:t xml:space="preserve"> następujących oświadczeń lub dokumentów.</w:t>
      </w:r>
    </w:p>
    <w:p>
      <w:pPr>
        <w:pStyle w:val="BodyText2"/>
        <w:spacing w:lineRule="auto" w:line="276"/>
        <w:ind w:left="709" w:hanging="425"/>
        <w:rPr>
          <w:b w:val="false"/>
          <w:b w:val="false"/>
          <w:sz w:val="22"/>
          <w:szCs w:val="22"/>
        </w:rPr>
      </w:pPr>
      <w:r>
        <w:rPr>
          <w:b w:val="false"/>
          <w:bCs w:val="false"/>
          <w:sz w:val="22"/>
          <w:szCs w:val="22"/>
        </w:rPr>
        <w:tab/>
      </w:r>
      <w:r>
        <w:rPr>
          <w:b w:val="false"/>
          <w:sz w:val="22"/>
          <w:szCs w:val="22"/>
        </w:rPr>
        <w:t xml:space="preserve">W celu potwierdzenia spełniania przez Wykonawcę warunków udziału </w:t>
        <w:br/>
        <w:t>w postępowaniu:</w:t>
      </w:r>
    </w:p>
    <w:p>
      <w:pPr>
        <w:pStyle w:val="Normal"/>
        <w:ind w:left="709" w:hanging="0"/>
        <w:rPr>
          <w:b/>
          <w:b/>
          <w:sz w:val="22"/>
          <w:szCs w:val="22"/>
        </w:rPr>
      </w:pPr>
      <w:r>
        <w:rPr>
          <w:sz w:val="22"/>
          <w:szCs w:val="22"/>
        </w:rPr>
        <w:t>-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b/>
          <w:sz w:val="22"/>
          <w:szCs w:val="22"/>
        </w:rPr>
        <w:t xml:space="preserve"> </w:t>
      </w:r>
      <w:bookmarkStart w:id="3" w:name="mip35794970"/>
      <w:bookmarkEnd w:id="3"/>
    </w:p>
    <w:p>
      <w:pPr>
        <w:pStyle w:val="Normal"/>
        <w:rPr/>
      </w:pPr>
      <w:r>
        <w:rPr/>
      </w:r>
    </w:p>
    <w:p>
      <w:pPr>
        <w:pStyle w:val="BodyText2"/>
        <w:spacing w:lineRule="auto" w:line="276"/>
        <w:ind w:left="709" w:hanging="709"/>
        <w:rPr>
          <w:b w:val="false"/>
          <w:b w:val="false"/>
          <w:sz w:val="22"/>
          <w:szCs w:val="22"/>
        </w:rPr>
      </w:pPr>
      <w:r>
        <w:rPr>
          <w:b w:val="false"/>
          <w:sz w:val="22"/>
          <w:szCs w:val="22"/>
        </w:rPr>
        <w:t xml:space="preserve">9.8. </w:t>
        <w:tab/>
        <w:t>Jeżeli wykaz, oświadczenia lub inne złożone przez Wykonawcę dokumenty, o których mowa w pkt 9.7.1) IDW budzą wątpliwości Zamawiającego, może on zwrócić się bezpośrednio do właściwego podmiotu, na rzecz którego roboty budowlane były wykonane, a w przypadku świadczeń okresowych lub ciągłych są wykonywane, o dodatkowe informacje lub dokumenty w tym zakresie.</w:t>
      </w:r>
    </w:p>
    <w:p>
      <w:pPr>
        <w:pStyle w:val="BodyText2"/>
        <w:spacing w:lineRule="auto" w:line="276"/>
        <w:ind w:left="709" w:hanging="709"/>
        <w:rPr>
          <w:b w:val="false"/>
          <w:b w:val="false"/>
          <w:sz w:val="22"/>
          <w:szCs w:val="22"/>
        </w:rPr>
      </w:pPr>
      <w:r>
        <w:rPr>
          <w:b w:val="false"/>
          <w:sz w:val="22"/>
          <w:szCs w:val="22"/>
        </w:rPr>
        <w:t>9.9.</w:t>
        <w:tab/>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pPr>
        <w:pStyle w:val="BodyText2"/>
        <w:spacing w:lineRule="auto" w:line="276"/>
        <w:ind w:left="709" w:hanging="709"/>
        <w:rPr>
          <w:b w:val="false"/>
          <w:b w:val="false"/>
          <w:sz w:val="22"/>
          <w:szCs w:val="22"/>
        </w:rPr>
      </w:pPr>
      <w:r>
        <w:rPr>
          <w:b w:val="false"/>
          <w:sz w:val="22"/>
          <w:szCs w:val="22"/>
        </w:rPr>
      </w:r>
    </w:p>
    <w:p>
      <w:pPr>
        <w:pStyle w:val="Normal"/>
        <w:spacing w:lineRule="auto" w:line="276"/>
        <w:ind w:left="720" w:hanging="720"/>
        <w:jc w:val="both"/>
        <w:rPr>
          <w:b/>
          <w:b/>
          <w:iCs/>
          <w:sz w:val="22"/>
          <w:szCs w:val="22"/>
        </w:rPr>
      </w:pPr>
      <w:r>
        <w:rPr>
          <w:b/>
          <w:sz w:val="22"/>
          <w:szCs w:val="22"/>
        </w:rPr>
        <w:t xml:space="preserve">10. </w:t>
        <w:tab/>
        <w:t>INFORMACJA DLA WYKONAWCÓW POLEGAJĄCYCH NA ZASOBACH INNYCH PODMIOTÓW, NA ZASADACH OKREŚLONYCH W ART. 22A USTAWY PZP</w:t>
      </w:r>
      <w:r>
        <w:rPr>
          <w:iCs/>
          <w:sz w:val="22"/>
          <w:szCs w:val="22"/>
        </w:rPr>
        <w:t xml:space="preserve"> </w:t>
      </w:r>
      <w:r>
        <w:rPr>
          <w:b/>
          <w:iCs/>
          <w:sz w:val="22"/>
          <w:szCs w:val="22"/>
        </w:rPr>
        <w:t>ORAZ ZAMIERZAJĄCYCH POWIERZYĆ WYKONANIE CZĘŚCI ZAMÓWIENIA PODWYKONAWCOM</w:t>
      </w:r>
    </w:p>
    <w:p>
      <w:pPr>
        <w:pStyle w:val="BodyText2"/>
        <w:spacing w:lineRule="auto" w:line="276"/>
        <w:ind w:left="709" w:hanging="709"/>
        <w:rPr>
          <w:b w:val="false"/>
          <w:b w:val="false"/>
          <w:iCs/>
          <w:sz w:val="22"/>
          <w:szCs w:val="22"/>
        </w:rPr>
      </w:pPr>
      <w:r>
        <w:rPr>
          <w:b w:val="false"/>
          <w:sz w:val="22"/>
          <w:szCs w:val="22"/>
        </w:rPr>
        <w:t>10.1.</w:t>
        <w:tab/>
      </w:r>
      <w:r>
        <w:rPr>
          <w:b w:val="false"/>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pPr>
        <w:pStyle w:val="BodyText2"/>
        <w:spacing w:lineRule="auto" w:line="276"/>
        <w:ind w:left="709" w:hanging="709"/>
        <w:rPr>
          <w:b w:val="false"/>
          <w:b w:val="false"/>
          <w:sz w:val="22"/>
          <w:szCs w:val="22"/>
        </w:rPr>
      </w:pPr>
      <w:r>
        <w:rPr>
          <w:b w:val="false"/>
          <w:iCs/>
          <w:sz w:val="22"/>
          <w:szCs w:val="22"/>
        </w:rPr>
        <w:t>10.2.</w:t>
        <w:tab/>
        <w:t>Wykonawca, który polega na zdolnościach lub sytuacji innych podmiotów, musi udowodnić Zamawiającemu, że realizując zamówienie, będzie dysponował niezbędnymi zasobami tych podmiotów</w:t>
      </w:r>
      <w:r>
        <w:rPr>
          <w:iCs/>
          <w:sz w:val="22"/>
          <w:szCs w:val="22"/>
        </w:rPr>
        <w:t>, w szczególności przedstawiając zobowiązanie tych podmiotów do oddania mu do dyspozycji niezbędnych zasobów na potrzeby realizacji zamówienia.</w:t>
      </w:r>
    </w:p>
    <w:p>
      <w:pPr>
        <w:pStyle w:val="BodyText2"/>
        <w:spacing w:lineRule="auto" w:line="276"/>
        <w:ind w:left="709" w:hanging="709"/>
        <w:rPr>
          <w:b w:val="false"/>
          <w:b w:val="false"/>
          <w:sz w:val="22"/>
          <w:szCs w:val="22"/>
        </w:rPr>
      </w:pPr>
      <w:r>
        <w:rPr>
          <w:b w:val="false"/>
          <w:iCs/>
          <w:sz w:val="22"/>
          <w:szCs w:val="22"/>
        </w:rPr>
        <w:t>10.3.</w:t>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Pzp oraz, o których mowa w pkt 8.2. IDW. </w:t>
      </w:r>
    </w:p>
    <w:p>
      <w:pPr>
        <w:pStyle w:val="BodyText2"/>
        <w:spacing w:lineRule="auto" w:line="276"/>
        <w:ind w:left="709" w:hanging="709"/>
        <w:rPr>
          <w:b w:val="false"/>
          <w:b w:val="false"/>
          <w:sz w:val="22"/>
          <w:szCs w:val="22"/>
        </w:rPr>
      </w:pPr>
      <w:r>
        <w:rPr>
          <w:b w:val="false"/>
          <w:iCs/>
          <w:sz w:val="22"/>
          <w:szCs w:val="22"/>
        </w:rPr>
        <w:t>10.4.</w:t>
        <w:tab/>
        <w:t>W odniesieniu do warunków dotyczących doświadczenia, Wykonawcy mogą polegać na zdolnościach innych podmiotów, jeśli podmioty te zrealizują roboty budowlane, do realizacji których te zdolności są wymagane.</w:t>
      </w:r>
    </w:p>
    <w:p>
      <w:pPr>
        <w:pStyle w:val="BodyText2"/>
        <w:spacing w:lineRule="auto" w:line="276"/>
        <w:ind w:left="709" w:hanging="709"/>
        <w:rPr>
          <w:b w:val="false"/>
          <w:b w:val="false"/>
          <w:iCs/>
          <w:sz w:val="22"/>
          <w:szCs w:val="22"/>
        </w:rPr>
      </w:pPr>
      <w:r>
        <w:rPr>
          <w:b w:val="false"/>
          <w:iCs/>
          <w:sz w:val="22"/>
          <w:szCs w:val="22"/>
        </w:rPr>
        <w:t>10.5.</w:t>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pPr>
        <w:pStyle w:val="BodyText2"/>
        <w:tabs>
          <w:tab w:val="left" w:pos="1134" w:leader="none"/>
        </w:tabs>
        <w:spacing w:lineRule="auto" w:line="276"/>
        <w:ind w:left="709" w:hanging="0"/>
        <w:rPr>
          <w:b w:val="false"/>
          <w:b w:val="false"/>
          <w:sz w:val="22"/>
          <w:szCs w:val="22"/>
        </w:rPr>
      </w:pPr>
      <w:r>
        <w:rPr>
          <w:b w:val="false"/>
          <w:bCs w:val="false"/>
          <w:sz w:val="22"/>
          <w:szCs w:val="22"/>
        </w:rPr>
        <w:t>a)</w:t>
        <w:tab/>
      </w:r>
      <w:r>
        <w:rPr>
          <w:b w:val="false"/>
          <w:iCs/>
          <w:sz w:val="22"/>
          <w:szCs w:val="22"/>
        </w:rPr>
        <w:t>zastąpił ten podmiot innym podmiotem lub podmiotami, lub</w:t>
      </w:r>
    </w:p>
    <w:p>
      <w:pPr>
        <w:pStyle w:val="BodyText2"/>
        <w:tabs>
          <w:tab w:val="left" w:pos="1134" w:leader="none"/>
        </w:tabs>
        <w:spacing w:lineRule="auto" w:line="276"/>
        <w:ind w:left="1134" w:hanging="425"/>
        <w:rPr>
          <w:b w:val="false"/>
          <w:b w:val="false"/>
          <w:iCs/>
          <w:sz w:val="22"/>
          <w:szCs w:val="22"/>
        </w:rPr>
      </w:pPr>
      <w:r>
        <w:rPr>
          <w:b w:val="false"/>
          <w:bCs w:val="false"/>
          <w:sz w:val="22"/>
          <w:szCs w:val="22"/>
        </w:rPr>
        <w:t>b)</w:t>
        <w:tab/>
      </w:r>
      <w:r>
        <w:rPr>
          <w:b w:val="false"/>
          <w:iCs/>
          <w:sz w:val="22"/>
          <w:szCs w:val="22"/>
        </w:rPr>
        <w:t>zobowiązał się do osobistego wykonania odpowiedniej części zamówienia, jeżeli wykaże zdolności techniczne lub zawodowe, o których mowa w pkt 10.1. IDW.</w:t>
      </w:r>
    </w:p>
    <w:p>
      <w:pPr>
        <w:pStyle w:val="BodyText2"/>
        <w:spacing w:lineRule="auto" w:line="276"/>
        <w:ind w:left="709" w:hanging="709"/>
        <w:rPr>
          <w:b w:val="false"/>
          <w:b w:val="false"/>
          <w:iCs/>
          <w:sz w:val="22"/>
          <w:szCs w:val="22"/>
        </w:rPr>
      </w:pPr>
      <w:r>
        <w:rPr>
          <w:b w:val="false"/>
          <w:iCs/>
          <w:sz w:val="22"/>
          <w:szCs w:val="22"/>
        </w:rPr>
        <w:t>10.6.</w:t>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IDW.</w:t>
      </w:r>
    </w:p>
    <w:p>
      <w:pPr>
        <w:pStyle w:val="BodyText2"/>
        <w:spacing w:lineRule="auto" w:line="276"/>
        <w:ind w:left="709" w:hanging="709"/>
        <w:rPr>
          <w:b w:val="false"/>
          <w:b w:val="false"/>
          <w:sz w:val="22"/>
          <w:szCs w:val="22"/>
        </w:rPr>
      </w:pPr>
      <w:r>
        <w:rPr>
          <w:b w:val="false"/>
          <w:sz w:val="22"/>
          <w:szCs w:val="22"/>
        </w:rPr>
        <w:t>10.7</w:t>
      </w:r>
      <w:r>
        <w:rPr>
          <w:b w:val="false"/>
          <w:i/>
          <w:sz w:val="22"/>
          <w:szCs w:val="22"/>
        </w:rPr>
        <w:t xml:space="preserve">. </w:t>
      </w:r>
      <w:r>
        <w:rPr>
          <w:b w:val="false"/>
          <w:sz w:val="22"/>
          <w:szCs w:val="22"/>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pPr>
        <w:pStyle w:val="Normal"/>
        <w:tabs>
          <w:tab w:val="left" w:pos="1134" w:leader="none"/>
        </w:tabs>
        <w:spacing w:lineRule="auto" w:line="276"/>
        <w:ind w:left="708" w:hanging="0"/>
        <w:jc w:val="both"/>
        <w:rPr>
          <w:rFonts w:eastAsia="Calibri"/>
          <w:sz w:val="22"/>
          <w:szCs w:val="22"/>
          <w:lang w:eastAsia="en-US"/>
        </w:rPr>
      </w:pPr>
      <w:r>
        <w:rPr>
          <w:rFonts w:eastAsia="Calibri"/>
          <w:sz w:val="22"/>
          <w:szCs w:val="22"/>
          <w:lang w:eastAsia="en-US"/>
        </w:rPr>
        <w:t>1)</w:t>
        <w:tab/>
        <w:t>zakres dostępnych Wykonawcy zasobów innego podmiotu;</w:t>
      </w:r>
    </w:p>
    <w:p>
      <w:pPr>
        <w:pStyle w:val="Normal"/>
        <w:tabs>
          <w:tab w:val="left" w:pos="1134" w:leader="none"/>
        </w:tabs>
        <w:spacing w:lineRule="auto" w:line="276"/>
        <w:ind w:left="1134" w:hanging="425"/>
        <w:jc w:val="both"/>
        <w:rPr>
          <w:rFonts w:eastAsia="Calibri"/>
          <w:sz w:val="22"/>
          <w:szCs w:val="22"/>
          <w:lang w:eastAsia="en-US"/>
        </w:rPr>
      </w:pPr>
      <w:r>
        <w:rPr>
          <w:rFonts w:eastAsia="Calibri"/>
          <w:sz w:val="22"/>
          <w:szCs w:val="22"/>
          <w:lang w:eastAsia="en-US"/>
        </w:rPr>
        <w:t>2)</w:t>
        <w:tab/>
        <w:t>sposób wykorzystania zasobów innego podmiotu, przez Wykonawcę, przy wykonywaniu zamówienia publicznego;</w:t>
      </w:r>
    </w:p>
    <w:p>
      <w:pPr>
        <w:pStyle w:val="Normal"/>
        <w:tabs>
          <w:tab w:val="left" w:pos="1134" w:leader="none"/>
        </w:tabs>
        <w:spacing w:lineRule="auto" w:line="276"/>
        <w:ind w:left="1134" w:hanging="425"/>
        <w:jc w:val="both"/>
        <w:rPr>
          <w:rFonts w:eastAsia="Calibri"/>
          <w:b/>
          <w:b/>
          <w:sz w:val="22"/>
          <w:szCs w:val="22"/>
          <w:lang w:eastAsia="en-US"/>
        </w:rPr>
      </w:pPr>
      <w:r>
        <w:rPr>
          <w:rFonts w:eastAsia="Calibri"/>
          <w:sz w:val="22"/>
          <w:szCs w:val="22"/>
          <w:lang w:eastAsia="en-US"/>
        </w:rPr>
        <w:t>3)</w:t>
        <w:tab/>
        <w:t>zakres i okres udziału innego podmiotu przy wykonywaniu zamówienia publicznego;</w:t>
      </w:r>
    </w:p>
    <w:p>
      <w:pPr>
        <w:pStyle w:val="Normal"/>
        <w:tabs>
          <w:tab w:val="left" w:pos="1134" w:leader="none"/>
        </w:tabs>
        <w:spacing w:lineRule="auto" w:line="276"/>
        <w:ind w:left="1134" w:hanging="425"/>
        <w:jc w:val="both"/>
        <w:rPr>
          <w:rFonts w:eastAsia="Calibri"/>
          <w:sz w:val="22"/>
          <w:szCs w:val="22"/>
          <w:lang w:eastAsia="en-US"/>
        </w:rPr>
      </w:pPr>
      <w:r>
        <w:rPr>
          <w:rFonts w:eastAsia="Calibri"/>
          <w:sz w:val="22"/>
          <w:szCs w:val="22"/>
          <w:lang w:eastAsia="en-US"/>
        </w:rPr>
        <w:t>4)</w:t>
        <w:tab/>
        <w:t>czy podmiot, na zdolnościach którego Wykonawca polega w odniesieniu do warunków udziału w postępowaniu dotyczących doświadczenia, zrealizuje roboty budowlane, których wskazane zdolności dotyczą.</w:t>
      </w:r>
    </w:p>
    <w:p>
      <w:pPr>
        <w:pStyle w:val="BodyText2"/>
        <w:spacing w:lineRule="auto" w:line="276"/>
        <w:ind w:left="709" w:hanging="709"/>
        <w:rPr>
          <w:b w:val="false"/>
          <w:b w:val="false"/>
          <w:iCs/>
          <w:sz w:val="22"/>
          <w:szCs w:val="22"/>
        </w:rPr>
      </w:pPr>
      <w:r>
        <w:rPr>
          <w:b w:val="false"/>
          <w:iCs/>
          <w:sz w:val="22"/>
          <w:szCs w:val="22"/>
        </w:rPr>
        <w:t>10.8.</w:t>
        <w:tab/>
        <w:t>Wykonawca, który zamierza powierzyć wykonanie części zamówienia Podwykonawcom,</w:t>
      </w:r>
      <w:r>
        <w:rPr>
          <w:sz w:val="22"/>
          <w:szCs w:val="22"/>
        </w:rPr>
        <w:t xml:space="preserve"> </w:t>
      </w:r>
      <w:r>
        <w:rPr>
          <w:b w:val="false"/>
          <w:iCs/>
          <w:sz w:val="22"/>
          <w:szCs w:val="22"/>
        </w:rPr>
        <w:t xml:space="preserve">na etapie postępowania o udzielenie zamówienia publicznego jest zobowiązany wskazać w ofercie części zamówienia, których wykonanie zamierza powierzyć Podwykonawcom. W przypadku  </w:t>
      </w:r>
      <w:r>
        <w:rPr>
          <w:rStyle w:val="Strong"/>
          <w:sz w:val="22"/>
          <w:szCs w:val="22"/>
        </w:rPr>
        <w:t xml:space="preserve">gdy Wykonawca powołuje się na ich zasoby w celu wykazania spełniania warunków udziału w postępowaniu zobowiązany jest </w:t>
      </w:r>
      <w:r>
        <w:rPr>
          <w:b w:val="false"/>
          <w:iCs/>
          <w:sz w:val="22"/>
          <w:szCs w:val="22"/>
        </w:rPr>
        <w:t>podać firmy Podwykonawców.</w:t>
      </w:r>
    </w:p>
    <w:p>
      <w:pPr>
        <w:pStyle w:val="Normal"/>
        <w:spacing w:lineRule="auto" w:line="276" w:before="120" w:after="0"/>
        <w:ind w:left="720" w:hanging="720"/>
        <w:jc w:val="both"/>
        <w:rPr>
          <w:b/>
          <w:b/>
          <w:sz w:val="22"/>
          <w:szCs w:val="22"/>
        </w:rPr>
      </w:pPr>
      <w:r>
        <w:rPr>
          <w:b/>
          <w:sz w:val="22"/>
          <w:szCs w:val="22"/>
        </w:rPr>
        <w:t xml:space="preserve">11. </w:t>
        <w:tab/>
        <w:t>INFORMACJA DLA WYKONAWCÓW WSPÓLNIE UBIEGAJĄCYCH SIĘ   O UDZIELENIE ZAMÓWIENIA (SPÓŁKI CYWILNE/ KONSORCJA)</w:t>
      </w:r>
    </w:p>
    <w:p>
      <w:pPr>
        <w:pStyle w:val="BodyText2"/>
        <w:spacing w:lineRule="auto" w:line="276"/>
        <w:ind w:left="709" w:hanging="709"/>
        <w:rPr>
          <w:b w:val="false"/>
          <w:b w:val="false"/>
          <w:iCs/>
          <w:sz w:val="22"/>
          <w:szCs w:val="22"/>
        </w:rPr>
      </w:pPr>
      <w:r>
        <w:rPr>
          <w:b w:val="false"/>
          <w:sz w:val="22"/>
          <w:szCs w:val="22"/>
        </w:rPr>
        <w:t>11.1.</w:t>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pPr>
        <w:pStyle w:val="BodyText2"/>
        <w:spacing w:lineRule="auto" w:line="276"/>
        <w:ind w:left="709" w:hanging="709"/>
        <w:rPr>
          <w:b w:val="false"/>
          <w:b w:val="false"/>
          <w:iCs/>
          <w:sz w:val="22"/>
          <w:szCs w:val="22"/>
        </w:rPr>
      </w:pPr>
      <w:r>
        <w:rPr>
          <w:b w:val="false"/>
          <w:sz w:val="22"/>
          <w:szCs w:val="22"/>
        </w:rPr>
        <w:t>11.2.</w:t>
        <w:tab/>
        <w:t>W przypadku Wykonawców wspólnie ubiegających się o udzielenie zamówienia, żaden z nich nie może podlegać wykluczeniu z powodu niespełniania warunków, o których mowa w art. 24 ust. 1 ustawy Pzp, oraz o których mowa w pkt 8.2. IDW, natomiast spełnianie warunków udziału w postępowaniu Wykonawcy wykazują zgodnie z pkt 7.2. IDW.</w:t>
      </w:r>
    </w:p>
    <w:p>
      <w:pPr>
        <w:pStyle w:val="BodyText2"/>
        <w:spacing w:lineRule="auto" w:line="276"/>
        <w:ind w:left="709" w:hanging="709"/>
        <w:rPr>
          <w:b w:val="false"/>
          <w:b w:val="false"/>
          <w:iCs/>
          <w:sz w:val="22"/>
          <w:szCs w:val="22"/>
        </w:rPr>
      </w:pPr>
      <w:r>
        <w:rPr>
          <w:b w:val="false"/>
          <w:sz w:val="22"/>
          <w:szCs w:val="22"/>
        </w:rPr>
        <w:t>11.3.</w:t>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pPr>
        <w:pStyle w:val="BodyText2"/>
        <w:spacing w:lineRule="auto" w:line="276"/>
        <w:ind w:left="709" w:hanging="709"/>
        <w:rPr>
          <w:b w:val="false"/>
          <w:b w:val="false"/>
          <w:sz w:val="22"/>
          <w:szCs w:val="22"/>
        </w:rPr>
      </w:pPr>
      <w:r>
        <w:rPr>
          <w:b w:val="false"/>
          <w:sz w:val="22"/>
          <w:szCs w:val="22"/>
        </w:rPr>
        <w:t>11.4.</w:t>
        <w:tab/>
        <w:t>W przypadku wspólnego ubiegania się o zamówienie przez Wykonawców  oświadczenie o przynależności lub braku przynależności do tej samej grupy kapitałowej, o którym mowa w pkt. 9.3. IDW składa każdy z Wykonawców.</w:t>
      </w:r>
    </w:p>
    <w:p>
      <w:pPr>
        <w:pStyle w:val="BodyText2"/>
        <w:spacing w:lineRule="auto" w:line="276"/>
        <w:ind w:left="709" w:hanging="709"/>
        <w:rPr>
          <w:b w:val="false"/>
          <w:b w:val="false"/>
          <w:iCs/>
          <w:sz w:val="22"/>
          <w:szCs w:val="22"/>
        </w:rPr>
      </w:pPr>
      <w:r>
        <w:rPr>
          <w:b w:val="false"/>
          <w:sz w:val="22"/>
          <w:szCs w:val="22"/>
        </w:rPr>
        <w:t>11</w:t>
      </w:r>
      <w:r>
        <w:rPr>
          <w:b w:val="false"/>
          <w:iCs/>
          <w:sz w:val="22"/>
          <w:szCs w:val="22"/>
        </w:rPr>
        <w:t xml:space="preserve">.5. </w:t>
      </w:r>
      <w:r>
        <w:rPr>
          <w:b w:val="false"/>
          <w:sz w:val="22"/>
          <w:szCs w:val="22"/>
        </w:rPr>
        <w:t>W przypadku wspólnego ubiegania się o zamówienie przez Wykonawców są  oni zobowiązani na wezwanie Zamawiającego do złożenia dokumentów i oświadczeń, o których mowa w pkt 9.7.</w:t>
      </w:r>
    </w:p>
    <w:p>
      <w:pPr>
        <w:pStyle w:val="BodyText2"/>
        <w:spacing w:lineRule="auto" w:line="276"/>
        <w:ind w:left="709" w:hanging="0"/>
        <w:rPr>
          <w:b w:val="false"/>
          <w:b w:val="false"/>
          <w:iCs/>
          <w:sz w:val="22"/>
          <w:szCs w:val="22"/>
        </w:rPr>
      </w:pPr>
      <w:r>
        <w:rPr>
          <w:b w:val="false"/>
          <w:iCs/>
          <w:sz w:val="22"/>
          <w:szCs w:val="22"/>
        </w:rPr>
      </w:r>
    </w:p>
    <w:p>
      <w:pPr>
        <w:pStyle w:val="Normal"/>
        <w:spacing w:lineRule="auto" w:line="276"/>
        <w:ind w:left="720" w:hanging="720"/>
        <w:jc w:val="both"/>
        <w:rPr>
          <w:b/>
          <w:b/>
          <w:sz w:val="22"/>
          <w:szCs w:val="22"/>
        </w:rPr>
      </w:pPr>
      <w:r>
        <w:rPr>
          <w:b/>
          <w:sz w:val="22"/>
          <w:szCs w:val="22"/>
        </w:rPr>
        <w:t xml:space="preserve">12. </w:t>
        <w:tab/>
        <w:t>SPOSÓB KOMUNIKACJI ORAZ WYMAGANIA FORMALNE DOTYCZĄCE SKŁADANYCH OŚWIADCZEŃ I DOKUMENTÓW</w:t>
      </w:r>
    </w:p>
    <w:p>
      <w:pPr>
        <w:pStyle w:val="BodyText2"/>
        <w:spacing w:lineRule="auto" w:line="276"/>
        <w:ind w:left="709" w:hanging="709"/>
        <w:rPr>
          <w:b w:val="false"/>
          <w:b w:val="false"/>
          <w:iCs/>
          <w:sz w:val="22"/>
          <w:szCs w:val="22"/>
        </w:rPr>
      </w:pPr>
      <w:r>
        <w:rPr>
          <w:b w:val="false"/>
          <w:sz w:val="22"/>
          <w:szCs w:val="22"/>
        </w:rPr>
        <w:t>12.1.</w:t>
        <w:tab/>
      </w:r>
      <w:r>
        <w:rPr>
          <w:b w:val="false"/>
          <w:iCs/>
          <w:sz w:val="22"/>
          <w:szCs w:val="22"/>
        </w:rPr>
        <w:t>W postępowaniu komunikacja między Zamawiającym a Wykonawcami odbywa się za pośrednictwem operatora pocztowego</w:t>
      </w:r>
      <w:r>
        <w:rPr>
          <w:b w:val="false"/>
          <w:sz w:val="22"/>
          <w:szCs w:val="22"/>
        </w:rPr>
        <w:t xml:space="preserve"> </w:t>
      </w:r>
      <w:r>
        <w:rPr>
          <w:b w:val="false"/>
          <w:iCs/>
          <w:sz w:val="22"/>
          <w:szCs w:val="22"/>
        </w:rPr>
        <w:t>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pkt 12.3. – 12.6. IDW.</w:t>
      </w:r>
    </w:p>
    <w:p>
      <w:pPr>
        <w:pStyle w:val="BodyText2"/>
        <w:spacing w:lineRule="auto" w:line="276"/>
        <w:ind w:left="709" w:hanging="0"/>
        <w:rPr>
          <w:b w:val="false"/>
          <w:b w:val="false"/>
          <w:iCs/>
          <w:sz w:val="22"/>
          <w:szCs w:val="22"/>
        </w:rPr>
      </w:pPr>
      <w:r>
        <w:rPr>
          <w:b w:val="false"/>
          <w:iCs/>
          <w:sz w:val="22"/>
          <w:szCs w:val="22"/>
        </w:rPr>
        <w:t>Zamawiający wyznacza Panią Teresę Ostałowską oraz pana Tomasza Chodóra do kontaktowania się z Wykonawcami:</w:t>
      </w:r>
    </w:p>
    <w:p>
      <w:pPr>
        <w:pStyle w:val="BodyText2"/>
        <w:spacing w:lineRule="auto" w:line="276"/>
        <w:ind w:left="709" w:hanging="0"/>
        <w:rPr>
          <w:iCs/>
          <w:sz w:val="22"/>
          <w:szCs w:val="22"/>
          <w:lang w:val="de-DE"/>
        </w:rPr>
      </w:pPr>
      <w:r>
        <w:rPr>
          <w:iCs/>
          <w:sz w:val="22"/>
          <w:szCs w:val="22"/>
          <w:lang w:val="de-DE"/>
        </w:rPr>
        <w:t xml:space="preserve">tel. 957617120, e-mail: </w:t>
      </w:r>
      <w:r>
        <w:rPr>
          <w:sz w:val="22"/>
          <w:szCs w:val="22"/>
          <w:lang w:val="de-DE"/>
        </w:rPr>
        <w:t>gok.zwierzyn@wp.pl</w:t>
      </w:r>
    </w:p>
    <w:p>
      <w:pPr>
        <w:pStyle w:val="BodyText2"/>
        <w:spacing w:lineRule="auto" w:line="276"/>
        <w:ind w:left="709" w:hanging="0"/>
        <w:rPr>
          <w:b w:val="false"/>
          <w:b w:val="false"/>
          <w:iCs/>
          <w:color w:val="C00000"/>
          <w:sz w:val="22"/>
          <w:szCs w:val="22"/>
          <w:lang w:val="de-DE"/>
        </w:rPr>
      </w:pPr>
      <w:r>
        <w:rPr>
          <w:b w:val="false"/>
          <w:iCs/>
          <w:color w:val="C00000"/>
          <w:sz w:val="22"/>
          <w:szCs w:val="22"/>
          <w:lang w:val="de-DE"/>
        </w:rPr>
      </w:r>
    </w:p>
    <w:p>
      <w:pPr>
        <w:pStyle w:val="BodyText2"/>
        <w:spacing w:lineRule="auto" w:line="276"/>
        <w:ind w:left="709" w:hanging="709"/>
        <w:rPr>
          <w:b w:val="false"/>
          <w:b w:val="false"/>
          <w:iCs/>
          <w:sz w:val="22"/>
          <w:szCs w:val="22"/>
        </w:rPr>
      </w:pPr>
      <w:r>
        <w:rPr>
          <w:b w:val="false"/>
          <w:sz w:val="22"/>
          <w:szCs w:val="22"/>
        </w:rPr>
        <w:t>12.2.</w:t>
        <w:tab/>
      </w:r>
      <w:r>
        <w:rPr>
          <w:b w:val="false"/>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pPr>
        <w:pStyle w:val="BodyText2"/>
        <w:spacing w:lineRule="auto" w:line="276"/>
        <w:ind w:left="709" w:hanging="709"/>
        <w:rPr>
          <w:b w:val="false"/>
          <w:b w:val="false"/>
          <w:sz w:val="22"/>
          <w:szCs w:val="22"/>
        </w:rPr>
      </w:pPr>
      <w:r>
        <w:rPr>
          <w:b w:val="false"/>
          <w:sz w:val="22"/>
          <w:szCs w:val="22"/>
        </w:rPr>
        <w:t>12.3.</w:t>
        <w:tab/>
      </w:r>
      <w:r>
        <w:rPr>
          <w:b w:val="false"/>
          <w:iCs/>
          <w:sz w:val="22"/>
          <w:szCs w:val="22"/>
        </w:rPr>
        <w:t>W postępowaniu oświadczenia składa się w formie pisemnej albo w postaci elektronicznej.</w:t>
      </w:r>
    </w:p>
    <w:p>
      <w:pPr>
        <w:pStyle w:val="BodyText2"/>
        <w:spacing w:lineRule="auto" w:line="276"/>
        <w:ind w:left="709" w:hanging="709"/>
        <w:rPr>
          <w:b w:val="false"/>
          <w:b w:val="false"/>
          <w:iCs/>
          <w:sz w:val="22"/>
          <w:szCs w:val="22"/>
        </w:rPr>
      </w:pPr>
      <w:r>
        <w:rPr>
          <w:b w:val="false"/>
          <w:sz w:val="22"/>
          <w:szCs w:val="22"/>
        </w:rPr>
        <w:t>12.4.</w:t>
        <w:tab/>
      </w:r>
      <w:r>
        <w:rPr>
          <w:b w:val="false"/>
          <w:iCs/>
          <w:sz w:val="22"/>
          <w:szCs w:val="22"/>
        </w:rPr>
        <w:t>Ofertę składa się pod rygorem nieważności w formie pisemnej.</w:t>
      </w:r>
    </w:p>
    <w:p>
      <w:pPr>
        <w:pStyle w:val="BodyText2"/>
        <w:spacing w:lineRule="auto" w:line="276"/>
        <w:ind w:left="709" w:hanging="709"/>
        <w:rPr>
          <w:b w:val="false"/>
          <w:b w:val="false"/>
          <w:iCs/>
          <w:sz w:val="22"/>
          <w:szCs w:val="22"/>
        </w:rPr>
      </w:pPr>
      <w:r>
        <w:rPr>
          <w:b w:val="false"/>
          <w:sz w:val="22"/>
          <w:szCs w:val="22"/>
        </w:rPr>
        <w:t>12.5.</w:t>
        <w:tab/>
      </w:r>
      <w:r>
        <w:rPr>
          <w:b w:val="false"/>
          <w:iCs/>
          <w:sz w:val="22"/>
          <w:szCs w:val="22"/>
        </w:rPr>
        <w:t>Oświadczenia, o których mowa w rozporządzeniu Ministra Rozwoju z dnia 26 lipca 2016 r. w sprawie rodzajów dokumentów, jakich może żądać Zamawiający od Wykonawcy</w:t>
      </w:r>
      <w:r>
        <w:rPr>
          <w:sz w:val="22"/>
          <w:szCs w:val="22"/>
        </w:rPr>
        <w:t xml:space="preserve"> </w:t>
      </w:r>
      <w:r>
        <w:rPr>
          <w:b w:val="false"/>
          <w:iCs/>
          <w:sz w:val="22"/>
          <w:szCs w:val="22"/>
        </w:rPr>
        <w:t xml:space="preserve">w postępowaniu o udzielenie zamówienia (Dz. U. poz. 1126), zwanym dalej „rozporządzeniem” składane przez Wykonawcę i inne podmioty, na zdolnościach lub sytuacji których polega Wykonawca na zasadach określonych w art. 22a ustawy Pzp oraz przez Podwykonawców, należy złożyć </w:t>
      </w:r>
      <w:r>
        <w:rPr>
          <w:iCs/>
          <w:sz w:val="22"/>
          <w:szCs w:val="22"/>
        </w:rPr>
        <w:t>w oryginale</w:t>
      </w:r>
      <w:r>
        <w:rPr>
          <w:b w:val="false"/>
          <w:iCs/>
          <w:sz w:val="22"/>
          <w:szCs w:val="22"/>
        </w:rPr>
        <w:t>.</w:t>
      </w:r>
    </w:p>
    <w:p>
      <w:pPr>
        <w:pStyle w:val="BodyText2"/>
        <w:spacing w:lineRule="auto" w:line="276"/>
        <w:ind w:left="709" w:hanging="709"/>
        <w:rPr>
          <w:b w:val="false"/>
          <w:b w:val="false"/>
          <w:iCs/>
          <w:sz w:val="22"/>
          <w:szCs w:val="22"/>
        </w:rPr>
      </w:pPr>
      <w:r>
        <w:rPr>
          <w:b w:val="false"/>
          <w:sz w:val="22"/>
          <w:szCs w:val="22"/>
        </w:rPr>
        <w:t>12.6.</w:t>
        <w:tab/>
      </w:r>
      <w:r>
        <w:rPr>
          <w:b w:val="false"/>
          <w:iCs/>
          <w:sz w:val="22"/>
          <w:szCs w:val="22"/>
        </w:rPr>
        <w:t>Dokumenty, o których mowa w rozporządzeniu inne niż oświadczenia, o których mowa powyżej w pkt 12.5 IDW, należy złożyć w oryginale lub kopii potwierdzonej za zgodność z oryginałem.</w:t>
      </w:r>
    </w:p>
    <w:p>
      <w:pPr>
        <w:pStyle w:val="BodyText2"/>
        <w:spacing w:lineRule="auto" w:line="276"/>
        <w:ind w:left="709" w:hanging="1"/>
        <w:rPr>
          <w:b w:val="false"/>
          <w:b w:val="false"/>
          <w:iCs/>
          <w:sz w:val="22"/>
          <w:szCs w:val="22"/>
        </w:rPr>
      </w:pPr>
      <w:r>
        <w:rPr>
          <w:b w:val="false"/>
          <w:i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pPr>
        <w:pStyle w:val="BodyText2"/>
        <w:spacing w:lineRule="auto" w:line="276"/>
        <w:ind w:left="709" w:hanging="0"/>
        <w:rPr>
          <w:b w:val="false"/>
          <w:b w:val="false"/>
          <w:iCs/>
          <w:sz w:val="22"/>
          <w:szCs w:val="22"/>
        </w:rPr>
      </w:pPr>
      <w:r>
        <w:rPr>
          <w:b w:val="false"/>
          <w:iCs/>
          <w:sz w:val="22"/>
          <w:szCs w:val="22"/>
        </w:rPr>
        <w:t xml:space="preserve">Potwierdzenie za zgodność z oryginałem następuje w formie pisemnej lub w formie elektronicznej. </w:t>
      </w:r>
    </w:p>
    <w:p>
      <w:pPr>
        <w:pStyle w:val="BodyText2"/>
        <w:spacing w:lineRule="auto" w:line="276"/>
        <w:ind w:left="709" w:hanging="0"/>
        <w:rPr>
          <w:b w:val="false"/>
          <w:b w:val="false"/>
          <w:iCs/>
          <w:sz w:val="22"/>
          <w:szCs w:val="22"/>
        </w:rPr>
      </w:pPr>
      <w:r>
        <w:rPr>
          <w:b w:val="false"/>
          <w:iCs/>
          <w:sz w:val="22"/>
          <w:szCs w:val="22"/>
        </w:rPr>
        <w:t>Poświadczenie za zgodność z oryginałem dokonywane w formie pisemnej powinno być sporządzone w sposób umożliwiający identyfikację podpisu (np. imię i nazwisko lub imienną pieczątką osoby poświadczającej kopię dokumentu za zgodność z oryginałem).</w:t>
      </w:r>
    </w:p>
    <w:p>
      <w:pPr>
        <w:pStyle w:val="BodyText2"/>
        <w:spacing w:lineRule="auto" w:line="276"/>
        <w:ind w:left="709" w:hanging="709"/>
        <w:rPr>
          <w:b w:val="false"/>
          <w:b w:val="false"/>
          <w:iCs/>
          <w:sz w:val="22"/>
          <w:szCs w:val="22"/>
        </w:rPr>
      </w:pPr>
      <w:r>
        <w:rPr>
          <w:b w:val="false"/>
          <w:sz w:val="22"/>
          <w:szCs w:val="22"/>
        </w:rPr>
        <w:t>12.7.</w:t>
        <w:tab/>
      </w:r>
      <w:r>
        <w:rPr>
          <w:b w:val="false"/>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pPr>
        <w:pStyle w:val="BodyText2"/>
        <w:spacing w:lineRule="auto" w:line="276"/>
        <w:ind w:left="709" w:hanging="709"/>
        <w:rPr>
          <w:b w:val="false"/>
          <w:b w:val="false"/>
          <w:iCs/>
          <w:sz w:val="22"/>
          <w:szCs w:val="22"/>
        </w:rPr>
      </w:pPr>
      <w:r>
        <w:rPr>
          <w:b w:val="false"/>
          <w:sz w:val="22"/>
          <w:szCs w:val="22"/>
        </w:rPr>
        <w:t>12.8.</w:t>
        <w:tab/>
      </w:r>
      <w:r>
        <w:rPr>
          <w:b w:val="false"/>
          <w:iCs/>
          <w:sz w:val="22"/>
          <w:szCs w:val="22"/>
        </w:rPr>
        <w:t>Dokumenty sporządzone w języku obcym są składane wraz z tłumaczeniem na język polski.</w:t>
      </w:r>
    </w:p>
    <w:p>
      <w:pPr>
        <w:pStyle w:val="Normal"/>
        <w:spacing w:lineRule="auto" w:line="276" w:before="120" w:after="0"/>
        <w:ind w:left="720" w:hanging="720"/>
        <w:jc w:val="both"/>
        <w:rPr>
          <w:b/>
          <w:b/>
          <w:sz w:val="22"/>
          <w:szCs w:val="22"/>
        </w:rPr>
      </w:pPr>
      <w:r>
        <w:rPr>
          <w:b/>
          <w:sz w:val="22"/>
          <w:szCs w:val="22"/>
        </w:rPr>
        <w:t>13.</w:t>
        <w:tab/>
        <w:t xml:space="preserve">UDZIELANIE WYJAŚNIEŃ TREŚCI SIWZ </w:t>
      </w:r>
    </w:p>
    <w:p>
      <w:pPr>
        <w:pStyle w:val="Wcicietrecitekstu"/>
        <w:tabs>
          <w:tab w:val="left" w:pos="709" w:leader="none"/>
        </w:tabs>
        <w:spacing w:lineRule="auto" w:line="276" w:before="120" w:after="0"/>
        <w:ind w:left="709" w:hanging="709"/>
        <w:jc w:val="both"/>
        <w:rPr>
          <w:sz w:val="22"/>
          <w:szCs w:val="22"/>
        </w:rPr>
      </w:pPr>
      <w:r>
        <w:rPr>
          <w:sz w:val="22"/>
          <w:szCs w:val="22"/>
        </w:rPr>
        <w:t>13.1.</w:t>
        <w:tab/>
        <w:t>Wykonawca może zwrócić się do Zamawiającego o wyjaśnienie treści Specyfikacji Istotnych Warunków Zamówienia (SIWZ), kierując wniosek na adres Zamawiającego.</w:t>
      </w:r>
    </w:p>
    <w:p>
      <w:pPr>
        <w:pStyle w:val="Wcicietrecitekstu"/>
        <w:tabs>
          <w:tab w:val="left" w:pos="709" w:leader="none"/>
        </w:tabs>
        <w:spacing w:lineRule="auto" w:line="276" w:before="120" w:after="0"/>
        <w:ind w:left="709" w:hanging="0"/>
        <w:jc w:val="both"/>
        <w:rPr>
          <w:b/>
          <w:b/>
          <w:sz w:val="22"/>
          <w:szCs w:val="22"/>
        </w:rPr>
      </w:pPr>
      <w:r>
        <w:rPr>
          <w:sz w:val="22"/>
          <w:szCs w:val="22"/>
        </w:rPr>
        <w:t xml:space="preserve">Zamawiający prosi o </w:t>
      </w:r>
      <w:r>
        <w:rPr>
          <w:sz w:val="22"/>
          <w:szCs w:val="22"/>
          <w:u w:val="single"/>
        </w:rPr>
        <w:t>przekazywanie pytań również drogą elektroniczną</w:t>
      </w:r>
      <w:r>
        <w:rPr>
          <w:sz w:val="22"/>
          <w:szCs w:val="22"/>
        </w:rPr>
        <w:t xml:space="preserve"> (na adres e-mail wskazany w pkt. 12.1 IDW) w formie edytowalnej, gdyż skróci to czas udzielania wyjaśnień.</w:t>
      </w:r>
    </w:p>
    <w:p>
      <w:pPr>
        <w:pStyle w:val="Wcicietrecitekstu"/>
        <w:tabs>
          <w:tab w:val="left" w:pos="709" w:leader="none"/>
        </w:tabs>
        <w:spacing w:lineRule="auto" w:line="276" w:before="120" w:after="0"/>
        <w:ind w:left="709" w:hanging="709"/>
        <w:jc w:val="both"/>
        <w:rPr>
          <w:sz w:val="22"/>
          <w:szCs w:val="22"/>
        </w:rPr>
      </w:pPr>
      <w:r>
        <w:rPr>
          <w:sz w:val="22"/>
          <w:szCs w:val="22"/>
        </w:rPr>
        <w:t>13.2.</w:t>
        <w:tab/>
        <w:t>Zamawiający jest zobowiązany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pPr>
        <w:pStyle w:val="Tretekstu"/>
        <w:numPr>
          <w:ilvl w:val="1"/>
          <w:numId w:val="2"/>
        </w:numPr>
        <w:spacing w:lineRule="auto" w:line="276" w:before="120" w:after="0"/>
        <w:ind w:left="709" w:hanging="709"/>
        <w:jc w:val="both"/>
        <w:rPr>
          <w:rFonts w:ascii="Times New Roman" w:hAnsi="Times New Roman" w:cs="Times New Roman"/>
          <w:iCs/>
          <w:sz w:val="22"/>
          <w:szCs w:val="22"/>
        </w:rPr>
      </w:pPr>
      <w:r>
        <w:rPr>
          <w:rFonts w:cs="Times New Roman" w:ascii="Times New Roman" w:hAnsi="Times New Roman"/>
          <w:iCs/>
          <w:sz w:val="22"/>
          <w:szCs w:val="22"/>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pPr>
        <w:pStyle w:val="Tretekstu"/>
        <w:numPr>
          <w:ilvl w:val="1"/>
          <w:numId w:val="2"/>
        </w:numPr>
        <w:spacing w:lineRule="auto" w:line="276" w:before="120" w:after="0"/>
        <w:ind w:left="709" w:hanging="709"/>
        <w:jc w:val="both"/>
        <w:rPr>
          <w:rFonts w:ascii="Times New Roman" w:hAnsi="Times New Roman" w:cs="Times New Roman"/>
          <w:iCs/>
          <w:sz w:val="22"/>
          <w:szCs w:val="22"/>
        </w:rPr>
      </w:pPr>
      <w:r>
        <w:rPr>
          <w:rFonts w:cs="Times New Roman" w:ascii="Times New Roman" w:hAnsi="Times New Roman"/>
          <w:iCs/>
          <w:sz w:val="22"/>
          <w:szCs w:val="22"/>
        </w:rPr>
        <w:t>Przedłużenie terminu składania ofert nie wpływa na bieg terminu składania wniosku, o którym mowa w pkt 13.2.</w:t>
      </w:r>
    </w:p>
    <w:p>
      <w:pPr>
        <w:pStyle w:val="Wcicietrecitekstu"/>
        <w:tabs>
          <w:tab w:val="left" w:pos="709" w:leader="none"/>
        </w:tabs>
        <w:spacing w:lineRule="auto" w:line="276" w:before="120" w:after="0"/>
        <w:ind w:left="709" w:hanging="709"/>
        <w:jc w:val="both"/>
        <w:rPr>
          <w:sz w:val="22"/>
          <w:szCs w:val="22"/>
        </w:rPr>
      </w:pPr>
      <w:r>
        <w:rPr>
          <w:sz w:val="22"/>
          <w:szCs w:val="22"/>
        </w:rPr>
        <w:t>13.5.</w:t>
        <w:tab/>
        <w:t>Tre</w:t>
      </w:r>
      <w:r>
        <w:rPr>
          <w:rFonts w:eastAsia="TimesNewRoman"/>
          <w:sz w:val="22"/>
          <w:szCs w:val="22"/>
        </w:rPr>
        <w:t xml:space="preserve">ść </w:t>
      </w:r>
      <w:r>
        <w:rPr>
          <w:sz w:val="22"/>
          <w:szCs w:val="22"/>
        </w:rPr>
        <w:t>zapyta</w:t>
      </w:r>
      <w:r>
        <w:rPr>
          <w:rFonts w:eastAsia="TimesNewRoman"/>
          <w:sz w:val="22"/>
          <w:szCs w:val="22"/>
        </w:rPr>
        <w:t xml:space="preserve">ń </w:t>
      </w:r>
      <w:r>
        <w:rPr>
          <w:sz w:val="22"/>
          <w:szCs w:val="22"/>
        </w:rPr>
        <w:t>wraz z wyja</w:t>
      </w:r>
      <w:r>
        <w:rPr>
          <w:rFonts w:eastAsia="TimesNewRoman"/>
          <w:sz w:val="22"/>
          <w:szCs w:val="22"/>
        </w:rPr>
        <w:t>ś</w:t>
      </w:r>
      <w:r>
        <w:rPr>
          <w:sz w:val="22"/>
          <w:szCs w:val="22"/>
        </w:rPr>
        <w:t>nieniami Zamawiaj</w:t>
      </w:r>
      <w:r>
        <w:rPr>
          <w:rFonts w:eastAsia="TimesNewRoman"/>
          <w:sz w:val="22"/>
          <w:szCs w:val="22"/>
        </w:rPr>
        <w:t>ą</w:t>
      </w:r>
      <w:r>
        <w:rPr>
          <w:sz w:val="22"/>
          <w:szCs w:val="22"/>
        </w:rPr>
        <w:t xml:space="preserve">cy, bez ujawniania </w:t>
      </w:r>
      <w:r>
        <w:rPr>
          <w:rFonts w:eastAsia="TimesNewRoman"/>
          <w:sz w:val="22"/>
          <w:szCs w:val="22"/>
        </w:rPr>
        <w:t>ź</w:t>
      </w:r>
      <w:r>
        <w:rPr>
          <w:sz w:val="22"/>
          <w:szCs w:val="22"/>
        </w:rPr>
        <w:t>ródła zapytania, zamieści na stronie internetowej.</w:t>
      </w:r>
    </w:p>
    <w:p>
      <w:pPr>
        <w:pStyle w:val="Wcicietrecitekstu"/>
        <w:tabs>
          <w:tab w:val="left" w:pos="709" w:leader="none"/>
        </w:tabs>
        <w:spacing w:lineRule="auto" w:line="276" w:before="120" w:after="0"/>
        <w:ind w:left="709" w:hanging="709"/>
        <w:jc w:val="both"/>
        <w:rPr>
          <w:sz w:val="22"/>
          <w:szCs w:val="22"/>
        </w:rPr>
      </w:pPr>
      <w:r>
        <w:rPr>
          <w:sz w:val="22"/>
          <w:szCs w:val="22"/>
        </w:rPr>
        <w:t>13.6.</w:t>
        <w:tab/>
        <w:t>W przypadku rozbieżności pomiędzy treścią niniejszej SIWZ a treścią udzielonych wyjaśnień lub zmian SIWZ, jako obowiązującą należy przyjąć treść pisma zawierającego późniejsze oświadczenie Zamawiającego.</w:t>
      </w:r>
    </w:p>
    <w:p>
      <w:pPr>
        <w:pStyle w:val="Wcicietrecitekstu"/>
        <w:tabs>
          <w:tab w:val="left" w:pos="709" w:leader="none"/>
        </w:tabs>
        <w:spacing w:lineRule="auto" w:line="276" w:before="120" w:after="0"/>
        <w:ind w:left="709" w:hanging="709"/>
        <w:jc w:val="both"/>
        <w:rPr>
          <w:sz w:val="22"/>
          <w:szCs w:val="22"/>
        </w:rPr>
      </w:pPr>
      <w:r>
        <w:rPr>
          <w:sz w:val="22"/>
          <w:szCs w:val="22"/>
        </w:rPr>
        <w:t>13.7.</w:t>
        <w:tab/>
        <w:t>W uzasadnionych przypadkach Zamawiający może przed upływem terminu składania ofert zmienić treść Specyfikacji Istotnych Warunków Zamówienia. Dokonan</w:t>
      </w:r>
      <w:r>
        <w:rPr>
          <w:rFonts w:eastAsia="TimesNewRoman"/>
          <w:sz w:val="22"/>
          <w:szCs w:val="22"/>
        </w:rPr>
        <w:t xml:space="preserve">ą </w:t>
      </w:r>
      <w:r>
        <w:rPr>
          <w:sz w:val="22"/>
          <w:szCs w:val="22"/>
        </w:rPr>
        <w:t>zmian</w:t>
      </w:r>
      <w:r>
        <w:rPr>
          <w:rFonts w:eastAsia="TimesNewRoman"/>
          <w:sz w:val="22"/>
          <w:szCs w:val="22"/>
        </w:rPr>
        <w:t>ę SIWZ</w:t>
      </w:r>
      <w:r>
        <w:rPr>
          <w:sz w:val="22"/>
          <w:szCs w:val="22"/>
        </w:rPr>
        <w:t xml:space="preserve"> Zamawiaj</w:t>
      </w:r>
      <w:r>
        <w:rPr>
          <w:rFonts w:eastAsia="TimesNewRoman"/>
          <w:sz w:val="22"/>
          <w:szCs w:val="22"/>
        </w:rPr>
        <w:t>ą</w:t>
      </w:r>
      <w:r>
        <w:rPr>
          <w:sz w:val="22"/>
          <w:szCs w:val="22"/>
        </w:rPr>
        <w:t>cy udostępni na stronie internetowej.</w:t>
      </w:r>
    </w:p>
    <w:p>
      <w:pPr>
        <w:pStyle w:val="Wcicietrecitekstu"/>
        <w:tabs>
          <w:tab w:val="left" w:pos="709" w:leader="none"/>
        </w:tabs>
        <w:spacing w:lineRule="auto" w:line="276" w:before="120" w:after="0"/>
        <w:ind w:left="709" w:hanging="709"/>
        <w:jc w:val="both"/>
        <w:rPr>
          <w:bCs/>
          <w:sz w:val="22"/>
          <w:szCs w:val="22"/>
        </w:rPr>
      </w:pPr>
      <w:r>
        <w:rPr>
          <w:bCs/>
          <w:sz w:val="22"/>
          <w:szCs w:val="22"/>
        </w:rPr>
        <w:t>13.8.</w:t>
        <w:tab/>
        <w:t>Je</w:t>
      </w:r>
      <w:r>
        <w:rPr>
          <w:rFonts w:eastAsia="TimesNewRoman"/>
          <w:bCs/>
          <w:sz w:val="22"/>
          <w:szCs w:val="22"/>
        </w:rPr>
        <w:t>ż</w:t>
      </w:r>
      <w:r>
        <w:rPr>
          <w:bCs/>
          <w:sz w:val="22"/>
          <w:szCs w:val="22"/>
        </w:rPr>
        <w:t>eli w wyniku zmiany tre</w:t>
      </w:r>
      <w:r>
        <w:rPr>
          <w:rFonts w:eastAsia="TimesNewRoman"/>
          <w:bCs/>
          <w:sz w:val="22"/>
          <w:szCs w:val="22"/>
        </w:rPr>
        <w:t>ś</w:t>
      </w:r>
      <w:r>
        <w:rPr>
          <w:bCs/>
          <w:sz w:val="22"/>
          <w:szCs w:val="22"/>
        </w:rPr>
        <w:t>ci SIWZ nieprowadz</w:t>
      </w:r>
      <w:r>
        <w:rPr>
          <w:rFonts w:eastAsia="TimesNewRoman"/>
          <w:bCs/>
          <w:sz w:val="22"/>
          <w:szCs w:val="22"/>
        </w:rPr>
        <w:t>ą</w:t>
      </w:r>
      <w:r>
        <w:rPr>
          <w:bCs/>
          <w:sz w:val="22"/>
          <w:szCs w:val="22"/>
        </w:rPr>
        <w:t>cej do zmiany tre</w:t>
      </w:r>
      <w:r>
        <w:rPr>
          <w:rFonts w:eastAsia="TimesNewRoman"/>
          <w:bCs/>
          <w:sz w:val="22"/>
          <w:szCs w:val="22"/>
        </w:rPr>
        <w:t>ś</w:t>
      </w:r>
      <w:r>
        <w:rPr>
          <w:bCs/>
          <w:sz w:val="22"/>
          <w:szCs w:val="22"/>
        </w:rPr>
        <w:t xml:space="preserve">ci ogłoszenia </w:t>
        <w:br/>
        <w:t>o zamówieniu będzie niezb</w:t>
      </w:r>
      <w:r>
        <w:rPr>
          <w:rFonts w:eastAsia="TimesNewRoman"/>
          <w:bCs/>
          <w:sz w:val="22"/>
          <w:szCs w:val="22"/>
        </w:rPr>
        <w:t>ę</w:t>
      </w:r>
      <w:r>
        <w:rPr>
          <w:bCs/>
          <w:sz w:val="22"/>
          <w:szCs w:val="22"/>
        </w:rPr>
        <w:t>dny dodatkowy czas na wprowadzenie zmian w ofertach, Zamawiaj</w:t>
      </w:r>
      <w:r>
        <w:rPr>
          <w:rFonts w:eastAsia="TimesNewRoman"/>
          <w:bCs/>
          <w:sz w:val="22"/>
          <w:szCs w:val="22"/>
        </w:rPr>
        <w:t>ą</w:t>
      </w:r>
      <w:r>
        <w:rPr>
          <w:bCs/>
          <w:sz w:val="22"/>
          <w:szCs w:val="22"/>
        </w:rPr>
        <w:t>cy przedłu</w:t>
      </w:r>
      <w:r>
        <w:rPr>
          <w:rFonts w:eastAsia="TimesNewRoman"/>
          <w:bCs/>
          <w:sz w:val="22"/>
          <w:szCs w:val="22"/>
        </w:rPr>
        <w:t xml:space="preserve">ży </w:t>
      </w:r>
      <w:r>
        <w:rPr>
          <w:bCs/>
          <w:sz w:val="22"/>
          <w:szCs w:val="22"/>
        </w:rPr>
        <w:t>termin składania ofert i poinformuje o tym Wykonawców, którym przekazano SIWZ oraz zamieści informacj</w:t>
      </w:r>
      <w:r>
        <w:rPr>
          <w:rFonts w:eastAsia="TimesNewRoman"/>
          <w:bCs/>
          <w:sz w:val="22"/>
          <w:szCs w:val="22"/>
        </w:rPr>
        <w:t xml:space="preserve">ę </w:t>
      </w:r>
      <w:r>
        <w:rPr>
          <w:bCs/>
          <w:sz w:val="22"/>
          <w:szCs w:val="22"/>
        </w:rPr>
        <w:t>na stronie internetowej.</w:t>
      </w:r>
    </w:p>
    <w:p>
      <w:pPr>
        <w:pStyle w:val="Wcicietrecitekstu"/>
        <w:tabs>
          <w:tab w:val="left" w:pos="709" w:leader="none"/>
        </w:tabs>
        <w:spacing w:lineRule="auto" w:line="276" w:before="120" w:after="0"/>
        <w:ind w:left="709" w:hanging="709"/>
        <w:jc w:val="both"/>
        <w:rPr>
          <w:bCs/>
          <w:sz w:val="22"/>
          <w:szCs w:val="22"/>
        </w:rPr>
      </w:pPr>
      <w:r>
        <w:rPr>
          <w:sz w:val="22"/>
          <w:szCs w:val="22"/>
        </w:rPr>
        <w:t>13.9.</w:t>
        <w:tab/>
        <w:t>Je</w:t>
      </w:r>
      <w:r>
        <w:rPr>
          <w:rFonts w:eastAsia="TimesNewRoman"/>
          <w:sz w:val="22"/>
          <w:szCs w:val="22"/>
        </w:rPr>
        <w:t>ż</w:t>
      </w:r>
      <w:r>
        <w:rPr>
          <w:sz w:val="22"/>
          <w:szCs w:val="22"/>
        </w:rPr>
        <w:t xml:space="preserve">eli zmiana treści SIWZ, będzie prowadziła do zmiany treści ogłoszenia </w:t>
        <w:br/>
        <w:t xml:space="preserve">o zamówieniu, Zamawiający dokona zmiany treści ogłoszenia o zamówieniu w sposób przewidziany w art. 38 ust. 4a ustawy Pzp </w:t>
      </w:r>
      <w:r>
        <w:rPr>
          <w:bCs/>
          <w:sz w:val="22"/>
          <w:szCs w:val="22"/>
        </w:rPr>
        <w:t>oraz, jeżeli będzie to konieczne, przedłuży termin składania ofert, zgodnie z art. 12a ustawy Pzp.</w:t>
      </w:r>
    </w:p>
    <w:p>
      <w:pPr>
        <w:pStyle w:val="Normal"/>
        <w:spacing w:lineRule="auto" w:line="276" w:before="120" w:after="0"/>
        <w:ind w:left="720" w:hanging="720"/>
        <w:jc w:val="both"/>
        <w:rPr>
          <w:b/>
          <w:b/>
          <w:sz w:val="22"/>
          <w:szCs w:val="22"/>
        </w:rPr>
      </w:pPr>
      <w:r>
        <w:rPr>
          <w:b/>
          <w:sz w:val="22"/>
          <w:szCs w:val="22"/>
        </w:rPr>
      </w:r>
    </w:p>
    <w:p>
      <w:pPr>
        <w:pStyle w:val="Normal"/>
        <w:spacing w:lineRule="auto" w:line="276" w:before="120" w:after="0"/>
        <w:ind w:left="720" w:hanging="720"/>
        <w:jc w:val="both"/>
        <w:rPr>
          <w:b/>
          <w:b/>
          <w:sz w:val="22"/>
          <w:szCs w:val="22"/>
        </w:rPr>
      </w:pPr>
      <w:r>
        <w:rPr>
          <w:b/>
          <w:sz w:val="22"/>
          <w:szCs w:val="22"/>
        </w:rPr>
        <w:t xml:space="preserve">14. </w:t>
        <w:tab/>
      </w:r>
      <w:r>
        <w:rPr>
          <w:rStyle w:val="Tekstdokbold"/>
          <w:sz w:val="22"/>
          <w:szCs w:val="22"/>
        </w:rPr>
        <w:t>OPIS SPOSOBU PRZYGOTOWANIA OFERT</w:t>
      </w:r>
    </w:p>
    <w:p>
      <w:pPr>
        <w:pStyle w:val="BodyText2"/>
        <w:spacing w:lineRule="auto" w:line="276"/>
        <w:ind w:left="709" w:hanging="709"/>
        <w:rPr>
          <w:b w:val="false"/>
          <w:b w:val="false"/>
          <w:bCs w:val="false"/>
          <w:sz w:val="22"/>
          <w:szCs w:val="22"/>
        </w:rPr>
      </w:pPr>
      <w:r>
        <w:rPr>
          <w:b w:val="false"/>
          <w:sz w:val="22"/>
          <w:szCs w:val="22"/>
        </w:rPr>
        <w:t>14.1.</w:t>
        <w:tab/>
      </w:r>
      <w:r>
        <w:rPr>
          <w:b w:val="false"/>
          <w:bCs w:val="false"/>
          <w:sz w:val="22"/>
          <w:szCs w:val="22"/>
        </w:rPr>
        <w:t>Wykonawca może złożyć tylko jedną ofertę.</w:t>
      </w:r>
    </w:p>
    <w:p>
      <w:pPr>
        <w:pStyle w:val="BodyText2"/>
        <w:spacing w:lineRule="auto" w:line="276"/>
        <w:ind w:left="709" w:hanging="709"/>
        <w:rPr>
          <w:b w:val="false"/>
          <w:b w:val="false"/>
          <w:iCs/>
          <w:sz w:val="22"/>
          <w:szCs w:val="22"/>
        </w:rPr>
      </w:pPr>
      <w:r>
        <w:rPr>
          <w:b w:val="false"/>
          <w:sz w:val="22"/>
          <w:szCs w:val="22"/>
        </w:rPr>
        <w:t>14.2.</w:t>
        <w:tab/>
      </w:r>
      <w:r>
        <w:rPr>
          <w:b w:val="false"/>
          <w:bCs w:val="false"/>
          <w:sz w:val="22"/>
          <w:szCs w:val="22"/>
        </w:rPr>
        <w:t>Zamawiający nie dopuszcza składania ofert częściowych, zgodnie z pkt 5 IDW.</w:t>
      </w:r>
    </w:p>
    <w:p>
      <w:pPr>
        <w:pStyle w:val="BodyText2"/>
        <w:spacing w:lineRule="auto" w:line="276"/>
        <w:ind w:left="709" w:hanging="709"/>
        <w:rPr>
          <w:b w:val="false"/>
          <w:b w:val="false"/>
          <w:bCs w:val="false"/>
          <w:sz w:val="22"/>
          <w:szCs w:val="22"/>
        </w:rPr>
      </w:pPr>
      <w:r>
        <w:rPr>
          <w:b w:val="false"/>
          <w:sz w:val="22"/>
          <w:szCs w:val="22"/>
        </w:rPr>
        <w:t>14.3.</w:t>
        <w:tab/>
      </w:r>
      <w:r>
        <w:rPr>
          <w:b w:val="false"/>
          <w:bCs w:val="false"/>
          <w:sz w:val="22"/>
          <w:szCs w:val="22"/>
        </w:rPr>
        <w:t>Zamawiający nie dopuszcza składania ofert wariantowych</w:t>
      </w:r>
      <w:r>
        <w:rPr>
          <w:b w:val="false"/>
          <w:bCs w:val="false"/>
          <w:i/>
          <w:sz w:val="22"/>
          <w:szCs w:val="22"/>
        </w:rPr>
        <w:t xml:space="preserve">, </w:t>
      </w:r>
      <w:r>
        <w:rPr>
          <w:b w:val="false"/>
          <w:bCs w:val="false"/>
          <w:sz w:val="22"/>
          <w:szCs w:val="22"/>
        </w:rPr>
        <w:t>zgodnie z pkt 5 IDW.</w:t>
      </w:r>
    </w:p>
    <w:p>
      <w:pPr>
        <w:pStyle w:val="BodyText2"/>
        <w:spacing w:lineRule="auto" w:line="276"/>
        <w:ind w:left="709" w:hanging="709"/>
        <w:rPr>
          <w:b w:val="false"/>
          <w:b w:val="false"/>
          <w:iCs/>
          <w:sz w:val="22"/>
          <w:szCs w:val="22"/>
        </w:rPr>
      </w:pPr>
      <w:r>
        <w:rPr>
          <w:b w:val="false"/>
          <w:sz w:val="22"/>
          <w:szCs w:val="22"/>
        </w:rPr>
        <w:t>14.4.</w:t>
        <w:tab/>
      </w:r>
      <w:r>
        <w:rPr>
          <w:b w:val="false"/>
          <w:bCs w:val="false"/>
          <w:sz w:val="22"/>
          <w:szCs w:val="22"/>
        </w:rPr>
        <w:t>Oferta musi być zabezpieczona wadium.</w:t>
      </w:r>
    </w:p>
    <w:p>
      <w:pPr>
        <w:pStyle w:val="BodyText2"/>
        <w:spacing w:lineRule="auto" w:line="276"/>
        <w:ind w:left="709" w:hanging="709"/>
        <w:rPr>
          <w:b w:val="false"/>
          <w:b w:val="false"/>
          <w:bCs w:val="false"/>
          <w:sz w:val="22"/>
          <w:szCs w:val="22"/>
        </w:rPr>
      </w:pPr>
      <w:r>
        <w:rPr>
          <w:b w:val="false"/>
          <w:sz w:val="22"/>
          <w:szCs w:val="22"/>
        </w:rPr>
        <w:t>14.5.</w:t>
        <w:tab/>
      </w:r>
      <w:r>
        <w:rPr>
          <w:b w:val="false"/>
          <w:bCs w:val="false"/>
          <w:sz w:val="22"/>
          <w:szCs w:val="22"/>
        </w:rPr>
        <w:t>Ofertę stanowi wypełniony Formularz „Oferta”.</w:t>
      </w:r>
    </w:p>
    <w:p>
      <w:pPr>
        <w:pStyle w:val="BodyText2"/>
        <w:spacing w:lineRule="auto" w:line="276"/>
        <w:ind w:left="709" w:hanging="709"/>
        <w:rPr>
          <w:b w:val="false"/>
          <w:b w:val="false"/>
          <w:bCs w:val="false"/>
          <w:sz w:val="22"/>
          <w:szCs w:val="22"/>
        </w:rPr>
      </w:pPr>
      <w:r>
        <w:rPr>
          <w:b w:val="false"/>
          <w:sz w:val="22"/>
          <w:szCs w:val="22"/>
        </w:rPr>
        <w:t>14.6.</w:t>
        <w:tab/>
      </w:r>
      <w:r>
        <w:rPr>
          <w:b w:val="false"/>
          <w:bCs w:val="false"/>
          <w:sz w:val="22"/>
          <w:szCs w:val="22"/>
        </w:rPr>
        <w:t>Wraz z ofertą powinny być złożone:</w:t>
      </w:r>
    </w:p>
    <w:p>
      <w:pPr>
        <w:pStyle w:val="BodyText2"/>
        <w:tabs>
          <w:tab w:val="left" w:pos="1134" w:leader="none"/>
        </w:tabs>
        <w:spacing w:lineRule="auto" w:line="276"/>
        <w:ind w:left="1134" w:hanging="425"/>
        <w:rPr>
          <w:b w:val="false"/>
          <w:b w:val="false"/>
          <w:bCs w:val="false"/>
          <w:sz w:val="22"/>
          <w:szCs w:val="22"/>
        </w:rPr>
      </w:pPr>
      <w:r>
        <w:rPr>
          <w:b w:val="false"/>
          <w:bCs w:val="false"/>
          <w:sz w:val="22"/>
          <w:szCs w:val="22"/>
        </w:rPr>
        <w:t xml:space="preserve">1) </w:t>
        <w:tab/>
        <w:t>Oświadczenia wymagane postanowieniami pkt 9.1 IDW;</w:t>
      </w:r>
    </w:p>
    <w:p>
      <w:pPr>
        <w:pStyle w:val="BodyText2"/>
        <w:tabs>
          <w:tab w:val="left" w:pos="1134" w:leader="none"/>
        </w:tabs>
        <w:spacing w:lineRule="auto" w:line="276"/>
        <w:ind w:left="1134" w:hanging="425"/>
        <w:rPr>
          <w:b w:val="false"/>
          <w:b w:val="false"/>
          <w:bCs w:val="false"/>
          <w:sz w:val="22"/>
          <w:szCs w:val="22"/>
        </w:rPr>
      </w:pPr>
      <w:r>
        <w:rPr>
          <w:b w:val="false"/>
          <w:bCs w:val="false"/>
          <w:sz w:val="22"/>
          <w:szCs w:val="22"/>
        </w:rPr>
        <w:t xml:space="preserve">2) </w:t>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powinno być załączone w formie oryginału lub notarialnie poświadczonej kopii.</w:t>
      </w:r>
    </w:p>
    <w:p>
      <w:pPr>
        <w:pStyle w:val="BodyText2"/>
        <w:tabs>
          <w:tab w:val="left" w:pos="1134" w:leader="none"/>
        </w:tabs>
        <w:spacing w:lineRule="auto" w:line="276"/>
        <w:ind w:left="1134" w:hanging="425"/>
        <w:rPr>
          <w:b w:val="false"/>
          <w:b w:val="false"/>
          <w:sz w:val="22"/>
          <w:szCs w:val="22"/>
        </w:rPr>
      </w:pPr>
      <w:r>
        <w:rPr>
          <w:b w:val="false"/>
          <w:bCs w:val="false"/>
          <w:sz w:val="22"/>
          <w:szCs w:val="22"/>
        </w:rPr>
        <w:t xml:space="preserve">3) </w:t>
        <w:tab/>
      </w:r>
      <w:r>
        <w:rPr>
          <w:b w:val="false"/>
          <w:sz w:val="22"/>
          <w:szCs w:val="22"/>
        </w:rPr>
        <w:t>Pełnomocnictwo do podpisania oferty (oryginał lub kopia potwierdzona za zgodność z oryginałem przez notariusza), względnie do podpisania innych oświadczeń lub dokumentów składanych wraz z ofertą, chyba że stosowne umocowanie wynika z dokumentów, które Zamawiający może uzyskać w szczególności za pomocą bezpłatnych i ogólnodostępnych baz danych, w szczególności rejestrów publicznych w rozumieniu ustawy z dnia 17 lutego 2005 r. o informatyzacji działalności podmiotów realizujących zadania publiczne (Dz. U. z 2014 r., poz. 1114 oraz z 2016r. poz. 352), a Wykonawca wskazał to wraz ze złożeniem oferty.</w:t>
      </w:r>
    </w:p>
    <w:p>
      <w:pPr>
        <w:pStyle w:val="BodyText2"/>
        <w:spacing w:lineRule="auto" w:line="276"/>
        <w:ind w:left="709" w:hanging="709"/>
        <w:rPr>
          <w:b w:val="false"/>
          <w:b w:val="false"/>
          <w:iCs/>
          <w:sz w:val="22"/>
          <w:szCs w:val="22"/>
        </w:rPr>
      </w:pPr>
      <w:r>
        <w:rPr>
          <w:b w:val="false"/>
          <w:sz w:val="22"/>
          <w:szCs w:val="22"/>
        </w:rPr>
        <w:t>14.7.</w:t>
        <w:tab/>
      </w:r>
      <w:r>
        <w:rPr>
          <w:b w:val="false"/>
          <w:bCs w:val="false"/>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pPr>
        <w:pStyle w:val="BodyText2"/>
        <w:spacing w:lineRule="auto" w:line="276"/>
        <w:ind w:left="709" w:hanging="709"/>
        <w:rPr>
          <w:b w:val="false"/>
          <w:b w:val="false"/>
          <w:iCs/>
          <w:sz w:val="22"/>
          <w:szCs w:val="22"/>
        </w:rPr>
      </w:pPr>
      <w:r>
        <w:rPr>
          <w:b w:val="false"/>
          <w:sz w:val="22"/>
          <w:szCs w:val="22"/>
        </w:rPr>
        <w:t>14.8.</w:t>
        <w:tab/>
      </w:r>
      <w:r>
        <w:rPr>
          <w:b w:val="false"/>
          <w:bCs w:val="false"/>
          <w:sz w:val="22"/>
          <w:szCs w:val="22"/>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pPr>
        <w:pStyle w:val="BodyText2"/>
        <w:spacing w:lineRule="auto" w:line="276"/>
        <w:ind w:left="709" w:hanging="709"/>
        <w:rPr>
          <w:b w:val="false"/>
          <w:b w:val="false"/>
          <w:iCs/>
          <w:sz w:val="22"/>
          <w:szCs w:val="22"/>
        </w:rPr>
      </w:pPr>
      <w:r>
        <w:rPr>
          <w:b w:val="false"/>
          <w:sz w:val="22"/>
          <w:szCs w:val="22"/>
        </w:rPr>
        <w:t>14.9.</w:t>
        <w:tab/>
      </w:r>
      <w:r>
        <w:rPr>
          <w:b w:val="false"/>
          <w:bCs w:val="false"/>
          <w:sz w:val="22"/>
          <w:szCs w:val="22"/>
        </w:rPr>
        <w:t>Oferta powinna być sporządzona w języku polskim, z zachowaniem formy pisemnej pod rygorem nieważności. Każdy dokument składający się na ofertę powinien być czytelny.</w:t>
      </w:r>
    </w:p>
    <w:p>
      <w:pPr>
        <w:pStyle w:val="BodyText2"/>
        <w:spacing w:lineRule="auto" w:line="276"/>
        <w:ind w:left="709" w:hanging="709"/>
        <w:rPr>
          <w:b w:val="false"/>
          <w:b w:val="false"/>
          <w:iCs/>
          <w:sz w:val="22"/>
          <w:szCs w:val="22"/>
        </w:rPr>
      </w:pPr>
      <w:r>
        <w:rPr>
          <w:b w:val="false"/>
          <w:sz w:val="22"/>
          <w:szCs w:val="22"/>
        </w:rPr>
        <w:t>14.10.</w:t>
        <w:tab/>
      </w:r>
      <w:r>
        <w:rPr>
          <w:b w:val="false"/>
          <w:bCs w:val="false"/>
          <w:sz w:val="22"/>
          <w:szCs w:val="22"/>
        </w:rPr>
        <w:t>Każda poprawka w treści oferty, a w szczególności każde przerobienie, przekreślenie, uzupełnienie, nadpisanie, etc. powinno być parafowane przez Wykonawcę, w przeciwnym razie nie będzie uwzględnione.</w:t>
      </w:r>
    </w:p>
    <w:p>
      <w:pPr>
        <w:pStyle w:val="BodyText2"/>
        <w:spacing w:lineRule="auto" w:line="276"/>
        <w:ind w:left="709" w:hanging="709"/>
        <w:rPr>
          <w:b w:val="false"/>
          <w:b w:val="false"/>
          <w:iCs/>
          <w:sz w:val="22"/>
          <w:szCs w:val="22"/>
        </w:rPr>
      </w:pPr>
      <w:r>
        <w:rPr>
          <w:b w:val="false"/>
          <w:sz w:val="22"/>
          <w:szCs w:val="22"/>
        </w:rPr>
        <w:t>14.11.</w:t>
        <w:tab/>
      </w:r>
      <w:r>
        <w:rPr>
          <w:b w:val="false"/>
          <w:bCs w:val="false"/>
          <w:sz w:val="22"/>
          <w:szCs w:val="22"/>
        </w:rPr>
        <w:t>Strony oferty powinny być trwale ze sobą połączone i kolejno ponumerowane, z zastrzeżeniem sytuacji opisanej w pkt. 14.12. i 14.13. IDW. W treści oferty powinna być umieszczona informacja o liczbie stron.</w:t>
      </w:r>
    </w:p>
    <w:p>
      <w:pPr>
        <w:pStyle w:val="BodyText2"/>
        <w:spacing w:lineRule="auto" w:line="276"/>
        <w:ind w:left="709" w:hanging="709"/>
        <w:rPr>
          <w:b w:val="false"/>
          <w:b w:val="false"/>
          <w:sz w:val="22"/>
          <w:szCs w:val="22"/>
        </w:rPr>
      </w:pPr>
      <w:r>
        <w:rPr>
          <w:b w:val="false"/>
          <w:sz w:val="22"/>
          <w:szCs w:val="22"/>
        </w:rPr>
        <w:t>14.12.</w:t>
        <w:tab/>
        <w:t xml:space="preserve">Zamawiający informuje, iż zgodnie z art. 8 ust. 3 ustawy Pzp, nie ujawnia się informacji stanowiących tajemnicę przedsiębiorstwa, w rozumieniu przepisów </w:t>
        <w:br/>
        <w:t xml:space="preserve">o zwalczaniu nieuczciwej konkurencji, jeżeli Wykonawca, nie później niż w terminie składania ofert, w sposób niebudzący wątpliwości zastrzegł, że nie mogą być one udostępniane </w:t>
      </w:r>
      <w:r>
        <w:rPr>
          <w:sz w:val="22"/>
          <w:szCs w:val="22"/>
        </w:rPr>
        <w:t>oraz wykazał, załączając stosowne wyjaśnienia, iż zastrzeżone informacje stanowią tajemnicę przedsiębiorstwa</w:t>
      </w:r>
      <w:r>
        <w:rPr>
          <w:b w:val="false"/>
          <w:sz w:val="22"/>
          <w:szCs w:val="22"/>
        </w:rPr>
        <w:t xml:space="preserve">. Wykonawca nie może zastrzec informacji, o których mowa w art. 86 ust. 4 ustawy Pzp. </w:t>
      </w:r>
    </w:p>
    <w:p>
      <w:pPr>
        <w:pStyle w:val="BodyText2"/>
        <w:spacing w:lineRule="auto" w:line="276"/>
        <w:ind w:left="709" w:hanging="0"/>
        <w:rPr>
          <w:b w:val="false"/>
          <w:b w:val="false"/>
          <w:iCs/>
          <w:sz w:val="22"/>
          <w:szCs w:val="22"/>
        </w:rPr>
      </w:pPr>
      <w:r>
        <w:rPr>
          <w:b w:val="false"/>
          <w:sz w:val="22"/>
          <w:szCs w:val="22"/>
        </w:rPr>
        <w:t>Wszelkie informacje stanowiące tajemnicę przedsiębiorstwa w rozumieniu ustawy z dnia 16 kwietnia 1993r. o zwalczaniu nieuczciwej konkurencji (Dz. U. z 2003 r., Nr 153, poz. 1503 ze zm.), które Wykonawca pragnie zastrzec jako tajemnicę przedsiębiorstwa, powinny być załączone w osobnym opakowaniu, w sposób umożliwiający łatwe od niej odłączenie i opatrzone napisem: „</w:t>
      </w:r>
      <w:r>
        <w:rPr>
          <w:b w:val="false"/>
          <w:i/>
          <w:sz w:val="22"/>
          <w:szCs w:val="22"/>
        </w:rPr>
        <w:t>Informacje stanowiące tajemnicę przedsiębiorstwa – nie udostępniać</w:t>
      </w:r>
      <w:r>
        <w:rPr>
          <w:b w:val="false"/>
          <w:sz w:val="22"/>
          <w:szCs w:val="22"/>
        </w:rPr>
        <w:t>”, z zachowaniem kolejności numerowania stron oferty</w:t>
      </w:r>
      <w:r>
        <w:rPr>
          <w:b w:val="false"/>
          <w:bCs w:val="false"/>
          <w:sz w:val="22"/>
          <w:szCs w:val="22"/>
        </w:rPr>
        <w:t>.</w:t>
      </w:r>
    </w:p>
    <w:p>
      <w:pPr>
        <w:pStyle w:val="BodyText2"/>
        <w:spacing w:lineRule="auto" w:line="276"/>
        <w:ind w:left="709" w:hanging="709"/>
        <w:rPr>
          <w:b w:val="false"/>
          <w:b w:val="false"/>
          <w:bCs w:val="false"/>
          <w:sz w:val="22"/>
          <w:szCs w:val="22"/>
        </w:rPr>
      </w:pPr>
      <w:r>
        <w:rPr>
          <w:b w:val="false"/>
          <w:sz w:val="22"/>
          <w:szCs w:val="22"/>
        </w:rPr>
        <w:t>14.13.</w:t>
        <w:tab/>
      </w:r>
      <w:r>
        <w:rPr>
          <w:b w:val="false"/>
          <w:bCs w:val="false"/>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pPr>
        <w:pStyle w:val="BodyText2"/>
        <w:spacing w:lineRule="auto" w:line="276"/>
        <w:rPr>
          <w:b w:val="false"/>
          <w:b w:val="false"/>
          <w:bCs w:val="false"/>
          <w:sz w:val="22"/>
          <w:szCs w:val="22"/>
        </w:rPr>
      </w:pPr>
      <w:r>
        <w:rPr>
          <w:b w:val="false"/>
          <w:bCs w:val="false"/>
          <w:sz w:val="22"/>
          <w:szCs w:val="22"/>
        </w:rPr>
      </w:r>
    </w:p>
    <w:tbl>
      <w:tblPr>
        <w:tblW w:w="8215" w:type="dxa"/>
        <w:jc w:val="left"/>
        <w:tblInd w:w="8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215"/>
      </w:tblGrid>
      <w:tr>
        <w:trPr>
          <w:trHeight w:val="1266" w:hRule="atLeast"/>
        </w:trPr>
        <w:tc>
          <w:tcPr>
            <w:tcW w:w="8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ind w:left="-35" w:hanging="0"/>
              <w:jc w:val="center"/>
              <w:rPr>
                <w:b/>
                <w:b/>
                <w:bCs/>
              </w:rPr>
            </w:pPr>
            <w:r>
              <w:rPr>
                <w:b/>
                <w:bCs/>
              </w:rPr>
            </w:r>
          </w:p>
          <w:p>
            <w:pPr>
              <w:pStyle w:val="Normal"/>
              <w:spacing w:lineRule="auto" w:line="276"/>
              <w:ind w:left="-35" w:hanging="0"/>
              <w:jc w:val="center"/>
              <w:rPr>
                <w:b/>
                <w:b/>
                <w:bCs/>
              </w:rPr>
            </w:pPr>
            <w:r>
              <w:rPr>
                <w:b/>
                <w:bCs/>
              </w:rPr>
              <w:t xml:space="preserve">Gminy Ośrodek Kultury „Jutrzenka”, </w:t>
            </w:r>
          </w:p>
          <w:p>
            <w:pPr>
              <w:pStyle w:val="Normal"/>
              <w:spacing w:lineRule="auto" w:line="276"/>
              <w:ind w:left="-35" w:hanging="0"/>
              <w:jc w:val="center"/>
              <w:rPr/>
            </w:pPr>
            <w:r>
              <w:rPr>
                <w:b/>
                <w:bCs/>
              </w:rPr>
              <w:t>ul. Wojska Polskiego 6, 66-542 Zwierzyn</w:t>
            </w:r>
          </w:p>
          <w:p>
            <w:pPr>
              <w:pStyle w:val="Normal"/>
              <w:spacing w:lineRule="auto" w:line="276"/>
              <w:ind w:left="-35" w:hanging="0"/>
              <w:jc w:val="center"/>
              <w:rPr/>
            </w:pPr>
            <w:r>
              <w:rPr/>
              <w:t>oraz opisane:</w:t>
            </w:r>
          </w:p>
          <w:p>
            <w:pPr>
              <w:pStyle w:val="Normal"/>
              <w:spacing w:lineRule="auto" w:line="276"/>
              <w:ind w:left="-35" w:hanging="0"/>
              <w:jc w:val="center"/>
              <w:rPr/>
            </w:pPr>
            <w:r>
              <w:rPr/>
            </w:r>
          </w:p>
          <w:p>
            <w:pPr>
              <w:pStyle w:val="Normal"/>
              <w:spacing w:lineRule="auto" w:line="276"/>
              <w:ind w:left="-35" w:hanging="0"/>
              <w:jc w:val="center"/>
              <w:rPr>
                <w:b/>
                <w:b/>
              </w:rPr>
            </w:pPr>
            <w:r>
              <w:rPr>
                <w:b/>
              </w:rPr>
              <w:t>OFERTA</w:t>
            </w:r>
          </w:p>
          <w:p>
            <w:pPr>
              <w:pStyle w:val="Normal"/>
              <w:spacing w:lineRule="auto" w:line="276"/>
              <w:ind w:left="-35" w:hanging="0"/>
              <w:jc w:val="center"/>
              <w:rPr>
                <w:b/>
                <w:b/>
              </w:rPr>
            </w:pPr>
            <w:r>
              <w:rPr>
                <w:b/>
                <w:bCs/>
              </w:rPr>
              <w:t>nr postępowania GOK.271.1.2018</w:t>
            </w:r>
          </w:p>
          <w:p>
            <w:pPr>
              <w:pStyle w:val="Normal"/>
              <w:widowControl w:val="false"/>
              <w:spacing w:lineRule="auto" w:line="276"/>
              <w:jc w:val="center"/>
              <w:rPr>
                <w:i/>
                <w:i/>
              </w:rPr>
            </w:pPr>
            <w:r>
              <w:rPr>
                <w:rFonts w:eastAsia="Calibri"/>
                <w:b/>
                <w:bCs/>
                <w:i/>
              </w:rPr>
              <w:t>„</w:t>
            </w:r>
            <w:r>
              <w:rPr>
                <w:rFonts w:eastAsia="Calibri"/>
                <w:b/>
                <w:bCs/>
                <w:i/>
              </w:rPr>
              <w:t xml:space="preserve">Propagowanie rybackiego dziedzictwa kulturowego poprzez remont </w:t>
              <w:br/>
              <w:t>i doposażenie Gminnego Ośrodka Kultury „Jutrzenka” w Zwierzynie”</w:t>
            </w:r>
          </w:p>
          <w:p>
            <w:pPr>
              <w:pStyle w:val="Normal"/>
              <w:spacing w:lineRule="auto" w:line="276" w:before="120" w:after="0"/>
              <w:ind w:left="-35" w:hanging="0"/>
              <w:jc w:val="center"/>
              <w:rPr>
                <w:b/>
                <w:b/>
                <w:bCs/>
              </w:rPr>
            </w:pPr>
            <w:r>
              <w:rPr>
                <w:b/>
                <w:bCs/>
              </w:rPr>
              <w:t xml:space="preserve"> „</w:t>
            </w:r>
            <w:r>
              <w:rPr>
                <w:b/>
                <w:bCs/>
              </w:rPr>
              <w:t>Nie otwierać przed dniem 30.07.2018 godz. 10.00”</w:t>
            </w:r>
          </w:p>
          <w:p>
            <w:pPr>
              <w:pStyle w:val="Normal"/>
              <w:spacing w:lineRule="auto" w:line="276" w:before="120" w:after="0"/>
              <w:ind w:left="-35" w:hanging="0"/>
              <w:jc w:val="center"/>
              <w:rPr>
                <w:b/>
                <w:b/>
                <w:bCs/>
              </w:rPr>
            </w:pPr>
            <w:r>
              <w:rPr>
                <w:b/>
                <w:bCs/>
              </w:rPr>
            </w:r>
          </w:p>
        </w:tc>
      </w:tr>
    </w:tbl>
    <w:p>
      <w:pPr>
        <w:pStyle w:val="BodyText2"/>
        <w:spacing w:lineRule="auto" w:line="276"/>
        <w:ind w:left="709" w:hanging="709"/>
        <w:rPr>
          <w:b w:val="false"/>
          <w:b w:val="false"/>
          <w:iCs/>
          <w:sz w:val="22"/>
          <w:szCs w:val="22"/>
        </w:rPr>
      </w:pPr>
      <w:r>
        <w:rPr>
          <w:b w:val="false"/>
          <w:sz w:val="22"/>
          <w:szCs w:val="22"/>
        </w:rPr>
        <w:t>14.14.</w:t>
        <w:tab/>
      </w:r>
      <w:r>
        <w:rPr>
          <w:b w:val="false"/>
          <w:bCs w:val="false"/>
          <w:sz w:val="22"/>
          <w:szCs w:val="22"/>
        </w:rPr>
        <w:t>Wymagania określone w pkt 14.11 - 14.13 IDW nie stanowią o treści oferty i ich niespełnienie nie będzie skutkować odrzuceniem oferty. Wszelkie negatywne konsekwencje mogące wyniknąć z niezachowania tych wymagań będą obciążały Wykonawcę.</w:t>
      </w:r>
    </w:p>
    <w:p>
      <w:pPr>
        <w:pStyle w:val="BodyText2"/>
        <w:spacing w:lineRule="auto" w:line="276"/>
        <w:ind w:left="709" w:hanging="709"/>
        <w:rPr>
          <w:b w:val="false"/>
          <w:b w:val="false"/>
          <w:sz w:val="22"/>
          <w:szCs w:val="22"/>
        </w:rPr>
      </w:pPr>
      <w:r>
        <w:rPr>
          <w:b w:val="false"/>
          <w:sz w:val="22"/>
          <w:szCs w:val="22"/>
        </w:rPr>
        <w:t>14.15.</w:t>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pPr>
        <w:pStyle w:val="BodyText2"/>
        <w:spacing w:lineRule="auto" w:line="276"/>
        <w:ind w:left="709" w:hanging="709"/>
        <w:rPr>
          <w:b w:val="false"/>
          <w:b w:val="false"/>
          <w:iCs/>
          <w:sz w:val="22"/>
          <w:szCs w:val="22"/>
        </w:rPr>
      </w:pPr>
      <w:r>
        <w:rPr>
          <w:b w:val="false"/>
          <w:iCs/>
          <w:sz w:val="22"/>
          <w:szCs w:val="22"/>
        </w:rPr>
      </w:r>
    </w:p>
    <w:p>
      <w:pPr>
        <w:pStyle w:val="Normal"/>
        <w:spacing w:lineRule="auto" w:line="276"/>
        <w:jc w:val="both"/>
        <w:rPr>
          <w:b/>
          <w:b/>
          <w:sz w:val="22"/>
          <w:szCs w:val="22"/>
        </w:rPr>
      </w:pPr>
      <w:r>
        <w:rPr>
          <w:b/>
          <w:sz w:val="22"/>
          <w:szCs w:val="22"/>
        </w:rPr>
        <w:t xml:space="preserve">15. </w:t>
        <w:tab/>
        <w:t xml:space="preserve">OPIS SPOSOBU OBLICZENIA CENY OFERTY </w:t>
      </w:r>
    </w:p>
    <w:p>
      <w:pPr>
        <w:pStyle w:val="Normal"/>
        <w:tabs>
          <w:tab w:val="left" w:pos="-1701" w:leader="none"/>
        </w:tabs>
        <w:spacing w:lineRule="auto" w:line="276" w:before="120" w:after="120"/>
        <w:ind w:left="703" w:hanging="703"/>
        <w:jc w:val="both"/>
        <w:rPr>
          <w:sz w:val="22"/>
          <w:szCs w:val="22"/>
        </w:rPr>
      </w:pPr>
      <w:r>
        <w:rPr>
          <w:sz w:val="22"/>
          <w:szCs w:val="22"/>
        </w:rPr>
        <w:t xml:space="preserve">15.1. </w:t>
        <w:tab/>
        <w:t xml:space="preserve">Wykonawca, uwzględniając wszystkie wymogi, o których mowa w niniejszej Specyfikacji Istotnych Warunków Zamówienia, powinien w Cenie ofertowej ująć wszelkie koszty związane z </w:t>
      </w:r>
      <w:r>
        <w:rPr>
          <w:sz w:val="22"/>
          <w:szCs w:val="22"/>
          <w:u w:val="single"/>
        </w:rPr>
        <w:t>wykonaniem robót budowlanych</w:t>
      </w:r>
      <w:r>
        <w:rPr>
          <w:sz w:val="22"/>
          <w:szCs w:val="22"/>
        </w:rPr>
        <w:t xml:space="preserve">, w tym również koszty towarzyszące, takie jak: koszty ubezpieczenia, itp., niezbędne dla pełnego i prawidłowego wykonania zamówienia. </w:t>
      </w:r>
    </w:p>
    <w:p>
      <w:pPr>
        <w:pStyle w:val="Normal"/>
        <w:tabs>
          <w:tab w:val="left" w:pos="-1701" w:leader="none"/>
        </w:tabs>
        <w:spacing w:lineRule="auto" w:line="276" w:before="120" w:after="120"/>
        <w:ind w:left="703" w:hanging="703"/>
        <w:jc w:val="both"/>
        <w:rPr>
          <w:sz w:val="22"/>
          <w:szCs w:val="22"/>
        </w:rPr>
      </w:pPr>
      <w:r>
        <w:rPr>
          <w:sz w:val="22"/>
          <w:szCs w:val="22"/>
        </w:rPr>
        <w:t xml:space="preserve">15.2. </w:t>
        <w:tab/>
        <w:t>Cena określona przez Wykonawcę jest ceną ryczałtową.</w:t>
      </w:r>
    </w:p>
    <w:p>
      <w:pPr>
        <w:pStyle w:val="Normal"/>
        <w:spacing w:lineRule="auto" w:line="276"/>
        <w:ind w:left="720" w:hanging="720"/>
        <w:jc w:val="both"/>
        <w:rPr>
          <w:iCs/>
          <w:sz w:val="22"/>
          <w:szCs w:val="22"/>
        </w:rPr>
      </w:pPr>
      <w:r>
        <w:rPr>
          <w:sz w:val="22"/>
          <w:szCs w:val="22"/>
        </w:rPr>
        <w:t xml:space="preserve">15.3. </w:t>
        <w:tab/>
        <w:t>Cena oferty musi być wyrażona w PLN z dokładnością do dwóch miejsc po przecinku. Ceny określone przez Wykonawcę w ofercie nie będą zmieniane w toku realizacji zamówienia, za wyjątkiem sytuacji określonych w Umowie, której wzór stanowi Tom II SIWZ.</w:t>
      </w:r>
    </w:p>
    <w:p>
      <w:pPr>
        <w:pStyle w:val="Normal"/>
        <w:tabs>
          <w:tab w:val="left" w:pos="-1701" w:leader="none"/>
        </w:tabs>
        <w:spacing w:lineRule="auto" w:line="276" w:before="120" w:after="0"/>
        <w:ind w:left="705" w:hanging="705"/>
        <w:jc w:val="both"/>
        <w:rPr>
          <w:iCs/>
          <w:sz w:val="22"/>
          <w:szCs w:val="22"/>
        </w:rPr>
      </w:pPr>
      <w:r>
        <w:rPr>
          <w:iCs/>
          <w:sz w:val="22"/>
          <w:szCs w:val="22"/>
        </w:rPr>
        <w:t xml:space="preserve">15.4. </w:t>
        <w:tab/>
        <w:t xml:space="preserve">Stawka podatku VAT ustalona przez Zamawiającego dla niniejszego przedmiotu zamówienia wynosi 23%. </w:t>
      </w:r>
    </w:p>
    <w:p>
      <w:pPr>
        <w:pStyle w:val="Normal"/>
        <w:tabs>
          <w:tab w:val="left" w:pos="-1701" w:leader="none"/>
        </w:tabs>
        <w:spacing w:lineRule="auto" w:line="276" w:before="120" w:after="0"/>
        <w:ind w:left="709" w:hanging="709"/>
        <w:jc w:val="both"/>
        <w:rPr>
          <w:sz w:val="22"/>
          <w:szCs w:val="22"/>
        </w:rPr>
      </w:pPr>
      <w:r>
        <w:rPr>
          <w:sz w:val="22"/>
          <w:szCs w:val="22"/>
        </w:rPr>
        <w:t>15.5.</w:t>
        <w:tab/>
        <w:t xml:space="preserve">Tam, gdzie w SIWZ zostało wskazane pochodzenie (marka, znak towarowy, producent, dostawca) materiałów lub normy, aprobaty, specyfikacje i systemy, </w:t>
        <w:br/>
        <w:t xml:space="preserve">o których mowa w art. 30 ust. 1 – 3 ustawy Pzp, Zamawiający dopuszcza oferowanie materiałów lub rozwiązań równoważnych, pod warunkiem, że zagwarantują one uzyskanie parametrów technicznych nie gorszych od założonych przez Zamawiającego. </w:t>
      </w:r>
    </w:p>
    <w:p>
      <w:pPr>
        <w:pStyle w:val="BodyText2"/>
        <w:spacing w:lineRule="auto" w:line="276"/>
        <w:ind w:left="709" w:hanging="709"/>
        <w:rPr>
          <w:sz w:val="22"/>
          <w:szCs w:val="22"/>
        </w:rPr>
      </w:pPr>
      <w:r>
        <w:rPr>
          <w:b w:val="false"/>
          <w:sz w:val="22"/>
          <w:szCs w:val="22"/>
        </w:rPr>
        <w:t>15.6.</w:t>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BodyText2"/>
        <w:spacing w:lineRule="auto" w:line="276"/>
        <w:ind w:left="709" w:hanging="709"/>
        <w:rPr>
          <w:sz w:val="22"/>
          <w:szCs w:val="22"/>
        </w:rPr>
      </w:pPr>
      <w:r>
        <w:rPr>
          <w:sz w:val="22"/>
          <w:szCs w:val="22"/>
        </w:rPr>
      </w:r>
    </w:p>
    <w:p>
      <w:pPr>
        <w:pStyle w:val="Normal"/>
        <w:suppressAutoHyphens w:val="true"/>
        <w:spacing w:lineRule="auto" w:line="276"/>
        <w:rPr>
          <w:b/>
          <w:b/>
          <w:sz w:val="22"/>
          <w:szCs w:val="22"/>
          <w:lang w:eastAsia="ar-SA"/>
        </w:rPr>
      </w:pPr>
      <w:r>
        <w:rPr>
          <w:b/>
          <w:sz w:val="22"/>
          <w:szCs w:val="22"/>
          <w:lang w:eastAsia="ar-SA"/>
        </w:rPr>
        <w:t>16.</w:t>
        <w:tab/>
        <w:t xml:space="preserve">WYMAGANIA DOTYCZĄCE WADIUM </w:t>
      </w:r>
    </w:p>
    <w:p>
      <w:pPr>
        <w:pStyle w:val="Normal"/>
        <w:suppressAutoHyphens w:val="true"/>
        <w:spacing w:lineRule="auto" w:line="276"/>
        <w:rPr>
          <w:b/>
          <w:b/>
          <w:sz w:val="22"/>
          <w:szCs w:val="22"/>
          <w:lang w:eastAsia="ar-SA"/>
        </w:rPr>
      </w:pPr>
      <w:r>
        <w:rPr>
          <w:b/>
          <w:sz w:val="22"/>
          <w:szCs w:val="22"/>
          <w:lang w:eastAsia="ar-SA"/>
        </w:rPr>
      </w:r>
    </w:p>
    <w:p>
      <w:pPr>
        <w:pStyle w:val="BodyText3"/>
        <w:numPr>
          <w:ilvl w:val="1"/>
          <w:numId w:val="7"/>
        </w:numPr>
        <w:spacing w:lineRule="auto" w:line="276" w:before="0" w:after="0"/>
        <w:rPr>
          <w:bCs/>
          <w:i w:val="false"/>
          <w:i w:val="false"/>
          <w:sz w:val="22"/>
          <w:szCs w:val="22"/>
        </w:rPr>
      </w:pPr>
      <w:r>
        <w:rPr>
          <w:bCs/>
          <w:i w:val="false"/>
          <w:sz w:val="22"/>
          <w:szCs w:val="22"/>
        </w:rPr>
        <w:t xml:space="preserve">Wykonawca jest zobowiązany do wniesienia wadium w wysokości </w:t>
      </w:r>
      <w:r>
        <w:rPr>
          <w:b/>
          <w:bCs/>
          <w:i w:val="false"/>
          <w:sz w:val="22"/>
          <w:szCs w:val="22"/>
        </w:rPr>
        <w:t>5 </w:t>
      </w:r>
      <w:r>
        <w:rPr>
          <w:b/>
          <w:i w:val="false"/>
          <w:sz w:val="22"/>
          <w:szCs w:val="22"/>
        </w:rPr>
        <w:t>000,00 PLN</w:t>
      </w:r>
      <w:r>
        <w:rPr>
          <w:b/>
          <w:bCs/>
          <w:i w:val="false"/>
          <w:sz w:val="22"/>
          <w:szCs w:val="22"/>
        </w:rPr>
        <w:t xml:space="preserve"> (słownie: pięć tysięcy złotych 00/100).</w:t>
      </w:r>
    </w:p>
    <w:p>
      <w:pPr>
        <w:pStyle w:val="Tretekstu"/>
        <w:numPr>
          <w:ilvl w:val="1"/>
          <w:numId w:val="7"/>
        </w:numPr>
        <w:spacing w:lineRule="auto" w:line="276"/>
        <w:jc w:val="both"/>
        <w:rPr>
          <w:rFonts w:ascii="Times New Roman" w:hAnsi="Times New Roman" w:cs="Times New Roman"/>
          <w:sz w:val="22"/>
          <w:szCs w:val="22"/>
        </w:rPr>
      </w:pPr>
      <w:r>
        <w:rPr>
          <w:rFonts w:cs="Times New Roman" w:ascii="Times New Roman" w:hAnsi="Times New Roman"/>
          <w:sz w:val="22"/>
          <w:szCs w:val="22"/>
        </w:rPr>
        <w:t>Wykonawca zobowiązany jest zabezpieczyć ofertę wadium na cały okres związania ofertą.</w:t>
      </w:r>
    </w:p>
    <w:p>
      <w:pPr>
        <w:pStyle w:val="BodyText3"/>
        <w:numPr>
          <w:ilvl w:val="1"/>
          <w:numId w:val="7"/>
        </w:numPr>
        <w:spacing w:lineRule="auto" w:line="276" w:before="0" w:after="0"/>
        <w:rPr>
          <w:bCs/>
          <w:i w:val="false"/>
          <w:i w:val="false"/>
          <w:sz w:val="22"/>
          <w:szCs w:val="22"/>
        </w:rPr>
      </w:pPr>
      <w:r>
        <w:rPr>
          <w:bCs/>
          <w:i w:val="false"/>
          <w:sz w:val="22"/>
          <w:szCs w:val="22"/>
        </w:rPr>
        <w:t>Wadium może być wniesione w jednej lub w kilku następujących formach wybranych przez Wykonawcę:</w:t>
      </w:r>
    </w:p>
    <w:p>
      <w:pPr>
        <w:pStyle w:val="BodyText3"/>
        <w:numPr>
          <w:ilvl w:val="0"/>
          <w:numId w:val="4"/>
        </w:numPr>
        <w:tabs>
          <w:tab w:val="left" w:pos="1276" w:leader="none"/>
        </w:tabs>
        <w:spacing w:lineRule="auto" w:line="276" w:before="0" w:after="0"/>
        <w:ind w:left="1134" w:hanging="283"/>
        <w:rPr>
          <w:bCs/>
          <w:i w:val="false"/>
          <w:i w:val="false"/>
          <w:sz w:val="22"/>
          <w:szCs w:val="22"/>
        </w:rPr>
      </w:pPr>
      <w:r>
        <w:rPr>
          <w:bCs/>
          <w:i w:val="false"/>
          <w:sz w:val="22"/>
          <w:szCs w:val="22"/>
        </w:rPr>
        <w:t xml:space="preserve">  </w:t>
      </w:r>
      <w:r>
        <w:rPr>
          <w:bCs/>
          <w:i w:val="false"/>
          <w:sz w:val="22"/>
          <w:szCs w:val="22"/>
        </w:rPr>
        <w:t>pieniądzu;</w:t>
      </w:r>
    </w:p>
    <w:p>
      <w:pPr>
        <w:pStyle w:val="BodyText3"/>
        <w:numPr>
          <w:ilvl w:val="0"/>
          <w:numId w:val="4"/>
        </w:numPr>
        <w:tabs>
          <w:tab w:val="left" w:pos="1276" w:leader="none"/>
        </w:tabs>
        <w:spacing w:lineRule="auto" w:line="276" w:before="0" w:after="0"/>
        <w:ind w:left="1276" w:hanging="425"/>
        <w:rPr>
          <w:bCs/>
          <w:i w:val="false"/>
          <w:i w:val="false"/>
          <w:sz w:val="22"/>
          <w:szCs w:val="22"/>
        </w:rPr>
      </w:pPr>
      <w:r>
        <w:rPr>
          <w:bCs/>
          <w:i w:val="false"/>
          <w:sz w:val="22"/>
          <w:szCs w:val="22"/>
        </w:rPr>
        <w:t>poręczeniach bankowych lub poręczeniach spółdzielczej kasy oszczędnościowo –     kredytowej, z tym, że poręczenie kasy jest zawsze poręczeniem pieniężnym;</w:t>
      </w:r>
    </w:p>
    <w:p>
      <w:pPr>
        <w:pStyle w:val="BodyText3"/>
        <w:numPr>
          <w:ilvl w:val="0"/>
          <w:numId w:val="4"/>
        </w:numPr>
        <w:tabs>
          <w:tab w:val="left" w:pos="1276" w:leader="none"/>
        </w:tabs>
        <w:spacing w:lineRule="auto" w:line="276" w:before="0" w:after="0"/>
        <w:ind w:left="1134" w:hanging="283"/>
        <w:rPr>
          <w:bCs/>
          <w:i w:val="false"/>
          <w:i w:val="false"/>
          <w:sz w:val="22"/>
          <w:szCs w:val="22"/>
        </w:rPr>
      </w:pPr>
      <w:r>
        <w:rPr>
          <w:bCs/>
          <w:i w:val="false"/>
          <w:sz w:val="22"/>
          <w:szCs w:val="22"/>
        </w:rPr>
        <w:t xml:space="preserve">  </w:t>
      </w:r>
      <w:r>
        <w:rPr>
          <w:bCs/>
          <w:i w:val="false"/>
          <w:sz w:val="22"/>
          <w:szCs w:val="22"/>
        </w:rPr>
        <w:t>gwarancjach bankowych;</w:t>
      </w:r>
    </w:p>
    <w:p>
      <w:pPr>
        <w:pStyle w:val="BodyText3"/>
        <w:numPr>
          <w:ilvl w:val="0"/>
          <w:numId w:val="4"/>
        </w:numPr>
        <w:tabs>
          <w:tab w:val="left" w:pos="1276" w:leader="none"/>
        </w:tabs>
        <w:spacing w:lineRule="auto" w:line="276" w:before="0" w:after="0"/>
        <w:ind w:left="1134" w:hanging="283"/>
        <w:rPr>
          <w:bCs/>
          <w:i w:val="false"/>
          <w:i w:val="false"/>
          <w:sz w:val="22"/>
          <w:szCs w:val="22"/>
        </w:rPr>
      </w:pPr>
      <w:r>
        <w:rPr>
          <w:bCs/>
          <w:i w:val="false"/>
          <w:sz w:val="22"/>
          <w:szCs w:val="22"/>
        </w:rPr>
        <w:t xml:space="preserve">  </w:t>
      </w:r>
      <w:r>
        <w:rPr>
          <w:bCs/>
          <w:i w:val="false"/>
          <w:sz w:val="22"/>
          <w:szCs w:val="22"/>
        </w:rPr>
        <w:t>gwarancjach ubezpieczeniowych;</w:t>
      </w:r>
    </w:p>
    <w:p>
      <w:pPr>
        <w:pStyle w:val="BodyText3"/>
        <w:numPr>
          <w:ilvl w:val="0"/>
          <w:numId w:val="4"/>
        </w:numPr>
        <w:tabs>
          <w:tab w:val="left" w:pos="1276" w:leader="none"/>
        </w:tabs>
        <w:spacing w:lineRule="auto" w:line="276" w:before="0" w:after="0"/>
        <w:ind w:left="1276" w:hanging="425"/>
        <w:rPr>
          <w:bCs/>
          <w:i w:val="false"/>
          <w:i w:val="false"/>
          <w:sz w:val="22"/>
          <w:szCs w:val="22"/>
        </w:rPr>
      </w:pPr>
      <w:r>
        <w:rPr>
          <w:bCs/>
          <w:i w:val="false"/>
          <w:sz w:val="22"/>
          <w:szCs w:val="22"/>
        </w:rPr>
        <w:t>poręczeniach udzielanych przez podmioty, o których mowa w art. 6 b ust. 5 pkt 2 ustawy z dnia 9 listopada 2000 r. o utworzeniu Polskiej Agencji Rozwoju Przedsiębiorczości (Dz. U. Nr 109, poz. 1158 z późn. zm.).</w:t>
      </w:r>
    </w:p>
    <w:p>
      <w:pPr>
        <w:pStyle w:val="CM6"/>
        <w:spacing w:lineRule="auto" w:line="276"/>
        <w:ind w:left="720" w:hanging="0"/>
        <w:rPr>
          <w:sz w:val="22"/>
          <w:szCs w:val="22"/>
        </w:rPr>
      </w:pPr>
      <w:r>
        <w:rPr>
          <w:sz w:val="22"/>
          <w:szCs w:val="22"/>
        </w:rPr>
      </w:r>
    </w:p>
    <w:p>
      <w:pPr>
        <w:pStyle w:val="CM6"/>
        <w:spacing w:lineRule="auto" w:line="276"/>
        <w:jc w:val="both"/>
        <w:rPr>
          <w:sz w:val="22"/>
          <w:szCs w:val="22"/>
        </w:rPr>
      </w:pPr>
      <w:r>
        <w:rPr>
          <w:b/>
          <w:sz w:val="22"/>
          <w:szCs w:val="22"/>
        </w:rPr>
        <w:t>UWAGA</w:t>
      </w:r>
      <w:r>
        <w:rPr>
          <w:sz w:val="22"/>
          <w:szCs w:val="22"/>
        </w:rPr>
        <w:t>:  W przypadku składania przez Wykonawcę wadium w formie gwarancji, gwarancja powinna być sporządzona zgodnie z obowiązującym prawem i powinna zawierać następujące elementy:</w:t>
      </w:r>
    </w:p>
    <w:p>
      <w:pPr>
        <w:pStyle w:val="CM7"/>
        <w:numPr>
          <w:ilvl w:val="2"/>
          <w:numId w:val="6"/>
        </w:numPr>
        <w:tabs>
          <w:tab w:val="clear" w:pos="708"/>
        </w:tabs>
        <w:spacing w:lineRule="auto" w:line="276"/>
        <w:ind w:left="1418" w:hanging="567"/>
        <w:jc w:val="both"/>
        <w:rPr>
          <w:sz w:val="22"/>
          <w:szCs w:val="22"/>
        </w:rPr>
      </w:pPr>
      <w:r>
        <w:rPr>
          <w:sz w:val="22"/>
          <w:szCs w:val="22"/>
        </w:rPr>
        <w:t>nazwę dającego zlecenie udzielenia gwarancji (Wykonawcy), beneficjenta gwarancji (Zamawiającego), gwaranta (banku lub instytucji ubezpieczeniowej udzielającej gwarancji) oraz wskazanie ich siedzib;</w:t>
      </w:r>
    </w:p>
    <w:p>
      <w:pPr>
        <w:pStyle w:val="CM7"/>
        <w:numPr>
          <w:ilvl w:val="2"/>
          <w:numId w:val="6"/>
        </w:numPr>
        <w:tabs>
          <w:tab w:val="left" w:pos="900" w:leader="none"/>
        </w:tabs>
        <w:spacing w:lineRule="auto" w:line="276"/>
        <w:ind w:left="851" w:hanging="0"/>
        <w:jc w:val="both"/>
        <w:rPr>
          <w:sz w:val="22"/>
          <w:szCs w:val="22"/>
        </w:rPr>
      </w:pPr>
      <w:r>
        <w:rPr>
          <w:sz w:val="22"/>
          <w:szCs w:val="22"/>
        </w:rPr>
        <w:t>określenie wierzytelności, która ma być zabezpieczona gwarancją;</w:t>
      </w:r>
    </w:p>
    <w:p>
      <w:pPr>
        <w:pStyle w:val="CM7"/>
        <w:numPr>
          <w:ilvl w:val="2"/>
          <w:numId w:val="6"/>
        </w:numPr>
        <w:tabs>
          <w:tab w:val="left" w:pos="900" w:leader="none"/>
        </w:tabs>
        <w:spacing w:lineRule="auto" w:line="276"/>
        <w:ind w:left="851" w:hanging="0"/>
        <w:jc w:val="both"/>
        <w:rPr>
          <w:sz w:val="22"/>
          <w:szCs w:val="22"/>
        </w:rPr>
      </w:pPr>
      <w:r>
        <w:rPr>
          <w:sz w:val="22"/>
          <w:szCs w:val="22"/>
        </w:rPr>
        <w:t>kwotę gwarancji;</w:t>
      </w:r>
    </w:p>
    <w:p>
      <w:pPr>
        <w:pStyle w:val="CM7"/>
        <w:numPr>
          <w:ilvl w:val="2"/>
          <w:numId w:val="6"/>
        </w:numPr>
        <w:tabs>
          <w:tab w:val="left" w:pos="900" w:leader="none"/>
        </w:tabs>
        <w:spacing w:lineRule="auto" w:line="276"/>
        <w:ind w:left="851" w:hanging="0"/>
        <w:jc w:val="both"/>
        <w:rPr>
          <w:sz w:val="22"/>
          <w:szCs w:val="22"/>
        </w:rPr>
      </w:pPr>
      <w:r>
        <w:rPr>
          <w:sz w:val="22"/>
          <w:szCs w:val="22"/>
        </w:rPr>
        <w:t>termin ważności gwarancji;</w:t>
      </w:r>
    </w:p>
    <w:p>
      <w:pPr>
        <w:pStyle w:val="CM7"/>
        <w:numPr>
          <w:ilvl w:val="2"/>
          <w:numId w:val="6"/>
        </w:numPr>
        <w:tabs>
          <w:tab w:val="left" w:pos="1418" w:leader="none"/>
        </w:tabs>
        <w:spacing w:lineRule="auto" w:line="276"/>
        <w:ind w:left="1418" w:hanging="567"/>
        <w:jc w:val="both"/>
        <w:rPr>
          <w:sz w:val="22"/>
          <w:szCs w:val="22"/>
        </w:rPr>
      </w:pPr>
      <w:r>
        <w:rPr>
          <w:sz w:val="22"/>
          <w:szCs w:val="22"/>
        </w:rPr>
        <w:t>bezwarunkowe zobowiązanie gwaranta do zapłacenia kwoty gwarancji na pierwsze pisemne żądanie Zamawiającego w przypadkach określonych w art. 46 ust. 4a i 5 ustawy Prawo zamówień publicznych.</w:t>
      </w:r>
    </w:p>
    <w:p>
      <w:pPr>
        <w:pStyle w:val="BodyText3"/>
        <w:numPr>
          <w:ilvl w:val="1"/>
          <w:numId w:val="7"/>
        </w:numPr>
        <w:spacing w:lineRule="auto" w:line="276" w:before="0" w:after="0"/>
        <w:ind w:left="709" w:hanging="709"/>
        <w:rPr>
          <w:bCs/>
          <w:i w:val="false"/>
          <w:i w:val="false"/>
          <w:sz w:val="22"/>
          <w:szCs w:val="22"/>
        </w:rPr>
      </w:pPr>
      <w:r>
        <w:rPr>
          <w:i w:val="false"/>
          <w:sz w:val="22"/>
          <w:szCs w:val="22"/>
        </w:rPr>
        <w:t>Wykonawca zobowiązany jest wnieść wadium przed upływem terminu składania ofert.</w:t>
      </w:r>
    </w:p>
    <w:p>
      <w:pPr>
        <w:pStyle w:val="Normal"/>
        <w:widowControl w:val="false"/>
        <w:spacing w:lineRule="auto" w:line="276"/>
        <w:ind w:left="709" w:hanging="0"/>
        <w:jc w:val="both"/>
        <w:rPr>
          <w:sz w:val="22"/>
          <w:szCs w:val="22"/>
        </w:rPr>
      </w:pPr>
      <w:r>
        <w:rPr>
          <w:bCs/>
          <w:sz w:val="22"/>
          <w:szCs w:val="22"/>
        </w:rPr>
        <w:t>Wadium wnoszone w pieniądzu należy wpłacić przelewem na konto Zamawiającego w banku LWBS Drezdenko Oddział Zwierzyn nr 37 8362 0005 4202 0473 2000 0010 z dopiskiem „wadium – P</w:t>
      </w:r>
      <w:r>
        <w:rPr>
          <w:rFonts w:eastAsia="Calibri"/>
          <w:bCs/>
          <w:sz w:val="22"/>
          <w:szCs w:val="22"/>
        </w:rPr>
        <w:t>ropagowanie rybackiego dziedzictwa kulturowego poprzez remont i doposażenie Gminnego Ośrodka Kultury „Jutrzenka” w Zwierzynie</w:t>
      </w:r>
      <w:r>
        <w:rPr>
          <w:rFonts w:eastAsia="Calibri"/>
          <w:bCs/>
        </w:rPr>
        <w:t>”</w:t>
      </w:r>
    </w:p>
    <w:p>
      <w:pPr>
        <w:pStyle w:val="BodyText3"/>
        <w:spacing w:lineRule="auto" w:line="276"/>
        <w:ind w:left="720" w:hanging="0"/>
        <w:rPr>
          <w:bCs/>
          <w:i w:val="false"/>
          <w:i w:val="false"/>
          <w:sz w:val="22"/>
          <w:szCs w:val="22"/>
        </w:rPr>
      </w:pPr>
      <w:r>
        <w:rPr>
          <w:bCs/>
          <w:i w:val="false"/>
          <w:sz w:val="22"/>
          <w:szCs w:val="22"/>
        </w:rPr>
        <w:t xml:space="preserve">Kopię przelewu należy załączyć do oferty. </w:t>
      </w:r>
    </w:p>
    <w:p>
      <w:pPr>
        <w:pStyle w:val="BodyText3"/>
        <w:spacing w:lineRule="auto" w:line="276"/>
        <w:ind w:left="720" w:hanging="0"/>
        <w:rPr>
          <w:bCs/>
          <w:i w:val="false"/>
          <w:i w:val="false"/>
          <w:sz w:val="22"/>
          <w:szCs w:val="22"/>
        </w:rPr>
      </w:pPr>
      <w:r>
        <w:rPr>
          <w:bCs/>
          <w:i w:val="false"/>
          <w:sz w:val="22"/>
          <w:szCs w:val="22"/>
        </w:rPr>
        <w:t>Wniesienie wadium w pieniądzu będzie skuteczne, jeżeli do upływu terminu składania ofert  znajdzie się ono na rachunku bankowym Zamawiającego.</w:t>
      </w:r>
    </w:p>
    <w:p>
      <w:pPr>
        <w:pStyle w:val="BodyText3"/>
        <w:numPr>
          <w:ilvl w:val="1"/>
          <w:numId w:val="7"/>
        </w:numPr>
        <w:spacing w:lineRule="auto" w:line="276" w:before="0" w:after="0"/>
        <w:ind w:left="720" w:hanging="578"/>
        <w:rPr>
          <w:bCs/>
          <w:i w:val="false"/>
          <w:i w:val="false"/>
          <w:sz w:val="22"/>
          <w:szCs w:val="22"/>
        </w:rPr>
      </w:pPr>
      <w:r>
        <w:rPr>
          <w:bCs/>
          <w:i w:val="false"/>
          <w:sz w:val="22"/>
          <w:szCs w:val="22"/>
        </w:rPr>
        <w:t>W przypadkach, gdy wadium wnoszone jest w formach innych niż pieniądz, Wykonawca składa oryginał dokumentu wadium wraz z ofertą.</w:t>
      </w:r>
    </w:p>
    <w:p>
      <w:pPr>
        <w:pStyle w:val="BodyText3"/>
        <w:numPr>
          <w:ilvl w:val="1"/>
          <w:numId w:val="7"/>
        </w:numPr>
        <w:spacing w:lineRule="auto" w:line="276" w:before="0" w:after="0"/>
        <w:ind w:left="720" w:hanging="578"/>
        <w:rPr>
          <w:bCs/>
          <w:i w:val="false"/>
          <w:i w:val="false"/>
          <w:sz w:val="22"/>
          <w:szCs w:val="22"/>
        </w:rPr>
      </w:pPr>
      <w:r>
        <w:rPr>
          <w:bCs/>
          <w:i w:val="false"/>
          <w:sz w:val="22"/>
          <w:szCs w:val="22"/>
        </w:rPr>
        <w:t>Zamawiający zwraca wadium wszystkim Wykonawcom niezwłocznie po wyborze najkorzystniejszej oferty lub unieważnieniu postępowania, z wyjątkiem Wykonawcy, którego oferta została wybrana jako najkorzystniejsza, z zastrzeżeniem</w:t>
      </w:r>
      <w:r>
        <w:rPr>
          <w:i w:val="false"/>
          <w:sz w:val="22"/>
          <w:szCs w:val="22"/>
        </w:rPr>
        <w:t xml:space="preserve"> art. 46 ust. 4a ustawy Pzp. </w:t>
      </w:r>
    </w:p>
    <w:p>
      <w:pPr>
        <w:pStyle w:val="BodyText3"/>
        <w:numPr>
          <w:ilvl w:val="1"/>
          <w:numId w:val="7"/>
        </w:numPr>
        <w:spacing w:lineRule="auto" w:line="276" w:before="0" w:after="0"/>
        <w:ind w:left="720" w:hanging="578"/>
        <w:rPr>
          <w:bCs/>
          <w:i w:val="false"/>
          <w:i w:val="false"/>
          <w:sz w:val="22"/>
          <w:szCs w:val="22"/>
        </w:rPr>
      </w:pPr>
      <w:r>
        <w:rPr>
          <w:i w:val="false"/>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co spowodowało brak możliwości wybrania oferty złożonej przez Wykonawcę jako najkorzystniejszej.</w:t>
      </w:r>
    </w:p>
    <w:p>
      <w:pPr>
        <w:pStyle w:val="BodyText3"/>
        <w:spacing w:lineRule="auto" w:line="276"/>
        <w:ind w:left="720" w:hanging="11"/>
        <w:rPr>
          <w:bCs/>
          <w:i w:val="false"/>
          <w:i w:val="false"/>
          <w:sz w:val="22"/>
          <w:szCs w:val="22"/>
        </w:rPr>
      </w:pPr>
      <w:r>
        <w:rPr>
          <w:i w:val="false"/>
          <w:sz w:val="22"/>
          <w:szCs w:val="22"/>
        </w:rPr>
        <w:t xml:space="preserve">Zamawiający zatrzymuje wadium wraz z odsetkami, jeżeli Wykonawca, którego oferta została wybrana: </w:t>
      </w:r>
    </w:p>
    <w:p>
      <w:pPr>
        <w:pStyle w:val="Default"/>
        <w:numPr>
          <w:ilvl w:val="0"/>
          <w:numId w:val="5"/>
        </w:numPr>
        <w:tabs>
          <w:tab w:val="left" w:pos="1276" w:leader="none"/>
        </w:tabs>
        <w:spacing w:lineRule="auto" w:line="276"/>
        <w:ind w:left="1276" w:hanging="425"/>
        <w:jc w:val="both"/>
        <w:rPr>
          <w:color w:val="00000A"/>
          <w:sz w:val="22"/>
          <w:szCs w:val="22"/>
        </w:rPr>
      </w:pPr>
      <w:r>
        <w:rPr>
          <w:color w:val="00000A"/>
          <w:sz w:val="22"/>
          <w:szCs w:val="22"/>
        </w:rPr>
        <w:t>odmówił podpisania umowy w sprawie zamówienia publicznego na warunkach    określonych w ofercie;</w:t>
      </w:r>
    </w:p>
    <w:p>
      <w:pPr>
        <w:pStyle w:val="Default"/>
        <w:numPr>
          <w:ilvl w:val="0"/>
          <w:numId w:val="5"/>
        </w:numPr>
        <w:tabs>
          <w:tab w:val="left" w:pos="1276" w:leader="none"/>
        </w:tabs>
        <w:spacing w:lineRule="auto" w:line="276"/>
        <w:ind w:left="1080" w:hanging="229"/>
        <w:jc w:val="both"/>
        <w:rPr>
          <w:color w:val="00000A"/>
          <w:sz w:val="22"/>
          <w:szCs w:val="22"/>
        </w:rPr>
      </w:pPr>
      <w:r>
        <w:rPr>
          <w:color w:val="00000A"/>
          <w:sz w:val="22"/>
          <w:szCs w:val="22"/>
        </w:rPr>
        <w:t xml:space="preserve">   </w:t>
      </w:r>
      <w:r>
        <w:rPr>
          <w:color w:val="00000A"/>
          <w:sz w:val="22"/>
          <w:szCs w:val="22"/>
        </w:rPr>
        <w:t>nie wniósł wymaganego zabezpieczenia należytego wykonania umowy;</w:t>
      </w:r>
    </w:p>
    <w:p>
      <w:pPr>
        <w:pStyle w:val="Default"/>
        <w:numPr>
          <w:ilvl w:val="0"/>
          <w:numId w:val="5"/>
        </w:numPr>
        <w:tabs>
          <w:tab w:val="left" w:pos="1276" w:leader="none"/>
        </w:tabs>
        <w:spacing w:lineRule="auto" w:line="276"/>
        <w:ind w:left="1276" w:hanging="425"/>
        <w:jc w:val="both"/>
        <w:rPr>
          <w:color w:val="00000A"/>
          <w:sz w:val="22"/>
          <w:szCs w:val="22"/>
        </w:rPr>
      </w:pPr>
      <w:r>
        <w:rPr>
          <w:color w:val="00000A"/>
          <w:sz w:val="22"/>
          <w:szCs w:val="22"/>
        </w:rPr>
        <w:t>zawarcie umowy w sprawie zamówienia publicznego stało się niemożliwe z przyczyn leżących po stronie Wykonawcy.</w:t>
      </w:r>
    </w:p>
    <w:p>
      <w:pPr>
        <w:pStyle w:val="BodyText3"/>
        <w:numPr>
          <w:ilvl w:val="1"/>
          <w:numId w:val="7"/>
        </w:numPr>
        <w:spacing w:lineRule="auto" w:line="276" w:before="0" w:after="0"/>
        <w:rPr>
          <w:bCs/>
          <w:i w:val="false"/>
          <w:i w:val="false"/>
          <w:sz w:val="22"/>
          <w:szCs w:val="22"/>
        </w:rPr>
      </w:pPr>
      <w:r>
        <w:rPr>
          <w:i w:val="false"/>
          <w:sz w:val="22"/>
          <w:szCs w:val="22"/>
        </w:rPr>
        <w:t>Zamawiający zwraca wadium Wykonawcy, którego oferta została wybrana jako najkorzystniejsza, niezwłocznie po zawarciu umowy w sprawie zamówienia publicznego oraz wniesieniu zabezpieczenia należytego wykonania umowy.</w:t>
      </w:r>
    </w:p>
    <w:p>
      <w:pPr>
        <w:pStyle w:val="BodyText3"/>
        <w:numPr>
          <w:ilvl w:val="1"/>
          <w:numId w:val="7"/>
        </w:numPr>
        <w:spacing w:lineRule="auto" w:line="276" w:before="0" w:after="0"/>
        <w:rPr>
          <w:bCs/>
          <w:i w:val="false"/>
          <w:i w:val="false"/>
          <w:sz w:val="22"/>
          <w:szCs w:val="22"/>
        </w:rPr>
      </w:pPr>
      <w:r>
        <w:rPr>
          <w:i w:val="false"/>
          <w:sz w:val="22"/>
          <w:szCs w:val="22"/>
        </w:rPr>
        <w:t>Zamawiający zwraca niezwłocznie wadium na wniosek Wykonawcy, który wycofał ofertę przed upływem terminu składania ofert.</w:t>
      </w:r>
    </w:p>
    <w:p>
      <w:pPr>
        <w:pStyle w:val="BodyText3"/>
        <w:numPr>
          <w:ilvl w:val="1"/>
          <w:numId w:val="7"/>
        </w:numPr>
        <w:spacing w:lineRule="auto" w:line="276" w:before="0" w:after="0"/>
        <w:rPr>
          <w:bCs/>
          <w:i w:val="false"/>
          <w:i w:val="false"/>
          <w:sz w:val="22"/>
          <w:szCs w:val="22"/>
        </w:rPr>
      </w:pPr>
      <w:r>
        <w:rPr>
          <w:i w:val="false"/>
          <w:sz w:val="22"/>
          <w:szCs w:val="22"/>
        </w:rPr>
        <w:t>Zamawiający żąda ponownego wniesienia wadium przez Wykonawcę, któremu zwrócono wadium na podstawie art. 46 ust. 3, jeżeli w wyniku rozstrzygnięcia odwołania jego oferta została wybrana jako najkorzystniejsza. Wykonawca wnosi wadium w terminie określonym przez Zamawiającego.</w:t>
      </w:r>
    </w:p>
    <w:p>
      <w:pPr>
        <w:pStyle w:val="ListParagraph"/>
        <w:numPr>
          <w:ilvl w:val="1"/>
          <w:numId w:val="7"/>
        </w:numPr>
        <w:suppressAutoHyphens w:val="true"/>
        <w:rPr>
          <w:rFonts w:ascii="Times New Roman" w:hAnsi="Times New Roman" w:cs="Times New Roman"/>
          <w:lang w:eastAsia="ar-SA"/>
        </w:rPr>
      </w:pPr>
      <w:r>
        <w:rPr>
          <w:rFonts w:cs="Times New Roman" w:ascii="Times New Roman" w:hAnsi="Times New Roman"/>
        </w:rPr>
        <w:t>Jeżeli wadium wniesiono w pieniądzu, Zamawiający zwraca je wraz z odsetkami wynikającymi z umowy rachunku bankowego, na którym było ono przechowywane na rachunek bankowy wskazany przez Wykonawcę.</w:t>
      </w:r>
    </w:p>
    <w:p>
      <w:pPr>
        <w:pStyle w:val="Normal"/>
        <w:suppressAutoHyphens w:val="true"/>
        <w:spacing w:lineRule="auto" w:line="276"/>
        <w:rPr>
          <w:sz w:val="22"/>
          <w:szCs w:val="22"/>
          <w:lang w:eastAsia="ar-SA"/>
        </w:rPr>
      </w:pPr>
      <w:r>
        <w:rPr>
          <w:sz w:val="22"/>
          <w:szCs w:val="22"/>
          <w:lang w:eastAsia="ar-SA"/>
        </w:rPr>
      </w:r>
    </w:p>
    <w:p>
      <w:pPr>
        <w:pStyle w:val="Normal"/>
        <w:suppressAutoHyphens w:val="true"/>
        <w:spacing w:lineRule="auto" w:line="276"/>
        <w:rPr>
          <w:b/>
          <w:b/>
          <w:sz w:val="22"/>
          <w:szCs w:val="22"/>
          <w:lang w:eastAsia="ar-SA"/>
        </w:rPr>
      </w:pPr>
      <w:r>
        <w:rPr>
          <w:b/>
          <w:sz w:val="22"/>
          <w:szCs w:val="22"/>
          <w:lang w:eastAsia="ar-SA"/>
        </w:rPr>
        <w:t>17.</w:t>
        <w:tab/>
      </w:r>
      <w:r>
        <w:rPr>
          <w:b/>
          <w:bCs/>
          <w:spacing w:val="4"/>
          <w:sz w:val="22"/>
          <w:szCs w:val="22"/>
        </w:rPr>
        <w:t>MIEJSCE ORAZ TERMIN SKŁADANIA I OTWARCIA OFERT</w:t>
      </w:r>
    </w:p>
    <w:p>
      <w:pPr>
        <w:pStyle w:val="Normal"/>
        <w:suppressAutoHyphens w:val="true"/>
        <w:spacing w:lineRule="auto" w:line="276" w:before="120" w:after="0"/>
        <w:ind w:left="709" w:hanging="709"/>
        <w:jc w:val="both"/>
        <w:rPr>
          <w:sz w:val="22"/>
          <w:szCs w:val="22"/>
        </w:rPr>
      </w:pPr>
      <w:r>
        <w:rPr>
          <w:spacing w:val="4"/>
          <w:sz w:val="22"/>
          <w:szCs w:val="22"/>
          <w:lang w:eastAsia="ar-SA"/>
        </w:rPr>
        <w:t>17.1.</w:t>
        <w:tab/>
      </w:r>
      <w:r>
        <w:rPr>
          <w:b/>
          <w:bCs/>
          <w:sz w:val="22"/>
          <w:szCs w:val="22"/>
        </w:rPr>
        <w:t>Oferty powinny być złożone</w:t>
      </w:r>
      <w:r>
        <w:rPr>
          <w:sz w:val="22"/>
          <w:szCs w:val="22"/>
        </w:rPr>
        <w:t xml:space="preserve"> </w:t>
      </w:r>
      <w:r>
        <w:rPr>
          <w:b/>
          <w:sz w:val="22"/>
          <w:szCs w:val="22"/>
        </w:rPr>
        <w:t>w</w:t>
      </w:r>
      <w:r>
        <w:rPr>
          <w:sz w:val="22"/>
          <w:szCs w:val="22"/>
        </w:rPr>
        <w:t xml:space="preserve"> Siedzibie Zamawiającego przy ul. ul. Wojska Polskiego 6, 66-542 Zwierzyn,  w </w:t>
      </w:r>
      <w:r>
        <w:rPr>
          <w:b/>
          <w:sz w:val="22"/>
          <w:szCs w:val="22"/>
        </w:rPr>
        <w:t>sekretariacie</w:t>
      </w:r>
      <w:r>
        <w:rPr>
          <w:sz w:val="22"/>
          <w:szCs w:val="22"/>
        </w:rPr>
        <w:t xml:space="preserve"> – w terminie </w:t>
      </w:r>
      <w:r>
        <w:rPr>
          <w:b/>
          <w:sz w:val="22"/>
          <w:szCs w:val="22"/>
        </w:rPr>
        <w:t>do 30.07.2018 r. do godziny 10:00.</w:t>
      </w:r>
    </w:p>
    <w:p>
      <w:pPr>
        <w:pStyle w:val="Normal"/>
        <w:suppressAutoHyphens w:val="true"/>
        <w:spacing w:lineRule="auto" w:line="276" w:before="120" w:after="0"/>
        <w:ind w:left="709" w:hanging="709"/>
        <w:jc w:val="both"/>
        <w:rPr>
          <w:spacing w:val="4"/>
          <w:sz w:val="22"/>
          <w:szCs w:val="22"/>
        </w:rPr>
      </w:pPr>
      <w:r>
        <w:rPr>
          <w:spacing w:val="4"/>
          <w:sz w:val="22"/>
          <w:szCs w:val="22"/>
          <w:lang w:eastAsia="ar-SA"/>
        </w:rPr>
        <w:t>17.2.</w:t>
        <w:tab/>
      </w:r>
      <w:r>
        <w:rPr>
          <w:b/>
          <w:bCs/>
          <w:spacing w:val="4"/>
          <w:sz w:val="22"/>
          <w:szCs w:val="22"/>
        </w:rPr>
        <w:t>Otwarcie ofert nastąpi</w:t>
      </w:r>
      <w:r>
        <w:rPr>
          <w:spacing w:val="4"/>
          <w:sz w:val="22"/>
          <w:szCs w:val="22"/>
        </w:rPr>
        <w:t xml:space="preserve"> w dniu </w:t>
      </w:r>
      <w:r>
        <w:rPr>
          <w:b/>
          <w:sz w:val="22"/>
          <w:szCs w:val="22"/>
        </w:rPr>
        <w:t>30.07.</w:t>
      </w:r>
      <w:r>
        <w:rPr>
          <w:b/>
          <w:spacing w:val="4"/>
          <w:sz w:val="22"/>
          <w:szCs w:val="22"/>
        </w:rPr>
        <w:t>2018 r.</w:t>
      </w:r>
      <w:r>
        <w:rPr>
          <w:spacing w:val="4"/>
          <w:sz w:val="22"/>
          <w:szCs w:val="22"/>
        </w:rPr>
        <w:t xml:space="preserve">, </w:t>
      </w:r>
      <w:r>
        <w:rPr>
          <w:b/>
          <w:spacing w:val="4"/>
          <w:sz w:val="22"/>
          <w:szCs w:val="22"/>
        </w:rPr>
        <w:t>o godz. 10:15</w:t>
      </w:r>
      <w:r>
        <w:rPr>
          <w:spacing w:val="4"/>
          <w:sz w:val="22"/>
          <w:szCs w:val="22"/>
        </w:rPr>
        <w:t xml:space="preserve"> w </w:t>
      </w:r>
      <w:r>
        <w:rPr>
          <w:sz w:val="22"/>
          <w:szCs w:val="22"/>
        </w:rPr>
        <w:t>Siedzibie Zamawiającego przy ul. ul. Wojska Polskiego 6, 66-542 Zwierzyn, w</w:t>
      </w:r>
      <w:r>
        <w:rPr>
          <w:spacing w:val="4"/>
          <w:sz w:val="22"/>
          <w:szCs w:val="22"/>
        </w:rPr>
        <w:t xml:space="preserve"> </w:t>
      </w:r>
      <w:r>
        <w:rPr>
          <w:b/>
          <w:spacing w:val="4"/>
          <w:sz w:val="22"/>
          <w:szCs w:val="22"/>
        </w:rPr>
        <w:t>Sali Konferencyjnej</w:t>
      </w:r>
      <w:r>
        <w:rPr>
          <w:spacing w:val="4"/>
          <w:sz w:val="22"/>
          <w:szCs w:val="22"/>
        </w:rPr>
        <w:t xml:space="preserve"> (I piętro) </w:t>
      </w:r>
    </w:p>
    <w:p>
      <w:pPr>
        <w:pStyle w:val="Normal"/>
        <w:suppressAutoHyphens w:val="true"/>
        <w:spacing w:lineRule="auto" w:line="276" w:before="120" w:after="0"/>
        <w:ind w:left="709" w:hanging="709"/>
        <w:jc w:val="both"/>
        <w:rPr>
          <w:sz w:val="22"/>
          <w:szCs w:val="22"/>
        </w:rPr>
      </w:pPr>
      <w:r>
        <w:rPr>
          <w:spacing w:val="4"/>
          <w:sz w:val="22"/>
          <w:szCs w:val="22"/>
          <w:lang w:eastAsia="ar-SA"/>
        </w:rPr>
        <w:t>17.3.</w:t>
        <w:tab/>
      </w:r>
      <w:r>
        <w:rPr>
          <w:sz w:val="22"/>
          <w:szCs w:val="22"/>
        </w:rPr>
        <w:t>Otwarcie ofert jest jawne.</w:t>
      </w:r>
    </w:p>
    <w:p>
      <w:pPr>
        <w:pStyle w:val="Normal"/>
        <w:suppressAutoHyphens w:val="true"/>
        <w:spacing w:lineRule="auto" w:line="276" w:before="120" w:after="0"/>
        <w:ind w:left="709" w:hanging="709"/>
        <w:jc w:val="both"/>
        <w:rPr>
          <w:sz w:val="22"/>
          <w:szCs w:val="22"/>
        </w:rPr>
      </w:pPr>
      <w:r>
        <w:rPr>
          <w:spacing w:val="4"/>
          <w:sz w:val="22"/>
          <w:szCs w:val="22"/>
          <w:lang w:eastAsia="ar-SA"/>
        </w:rPr>
        <w:t>17.4.</w:t>
        <w:tab/>
      </w:r>
      <w:r>
        <w:rPr>
          <w:sz w:val="22"/>
          <w:szCs w:val="22"/>
        </w:rPr>
        <w:t>Z zawartością ofert nie można zapoznać się przed upływem terminu ich otwarcia.</w:t>
      </w:r>
    </w:p>
    <w:p>
      <w:pPr>
        <w:pStyle w:val="Normal"/>
        <w:suppressAutoHyphens w:val="true"/>
        <w:spacing w:lineRule="auto" w:line="276" w:before="120" w:after="0"/>
        <w:ind w:left="709" w:hanging="709"/>
        <w:jc w:val="both"/>
        <w:rPr>
          <w:spacing w:val="4"/>
          <w:sz w:val="22"/>
          <w:szCs w:val="22"/>
          <w:lang w:eastAsia="ar-SA"/>
        </w:rPr>
      </w:pPr>
      <w:r>
        <w:rPr>
          <w:spacing w:val="4"/>
          <w:sz w:val="22"/>
          <w:szCs w:val="22"/>
          <w:lang w:eastAsia="ar-SA"/>
        </w:rPr>
        <w:t>17.5.</w:t>
        <w:tab/>
        <w:t>Otwarcie ofert jest jawne.</w:t>
      </w:r>
    </w:p>
    <w:p>
      <w:pPr>
        <w:pStyle w:val="Normal"/>
        <w:suppressAutoHyphens w:val="true"/>
        <w:spacing w:lineRule="auto" w:line="276" w:before="120" w:after="0"/>
        <w:ind w:left="709" w:hanging="709"/>
        <w:jc w:val="both"/>
        <w:rPr>
          <w:sz w:val="22"/>
          <w:szCs w:val="22"/>
        </w:rPr>
      </w:pPr>
      <w:r>
        <w:rPr>
          <w:sz w:val="22"/>
          <w:szCs w:val="22"/>
        </w:rPr>
        <w:t>17.6  Bezpośrednio przed otwarciem ofert  Zamawiający poda kwotę, jaką zamierza  przeznaczyć na sfinansowanie zamówienia.</w:t>
      </w:r>
    </w:p>
    <w:p>
      <w:pPr>
        <w:pStyle w:val="Normal"/>
        <w:suppressAutoHyphens w:val="true"/>
        <w:spacing w:lineRule="auto" w:line="276" w:before="120" w:after="0"/>
        <w:ind w:left="709" w:hanging="709"/>
        <w:jc w:val="both"/>
        <w:rPr>
          <w:sz w:val="22"/>
          <w:szCs w:val="22"/>
        </w:rPr>
      </w:pPr>
      <w:r>
        <w:rPr>
          <w:spacing w:val="4"/>
          <w:sz w:val="22"/>
          <w:szCs w:val="22"/>
          <w:lang w:eastAsia="ar-SA"/>
        </w:rPr>
        <w:t>17.7.</w:t>
        <w:tab/>
      </w:r>
      <w:r>
        <w:rPr>
          <w:sz w:val="22"/>
          <w:szCs w:val="22"/>
        </w:rPr>
        <w:t>Podczas otwarcia ofert podaje się nazwy (firmy) oraz adresy Wykonawców, a także informacje dotyczące ceny i okresu gwarancji zawartych w ofertach.</w:t>
      </w:r>
    </w:p>
    <w:p>
      <w:pPr>
        <w:pStyle w:val="Normal"/>
        <w:suppressAutoHyphens w:val="true"/>
        <w:spacing w:lineRule="auto" w:line="276" w:before="120" w:after="0"/>
        <w:ind w:left="709" w:hanging="709"/>
        <w:jc w:val="both"/>
        <w:rPr>
          <w:sz w:val="22"/>
          <w:szCs w:val="22"/>
        </w:rPr>
      </w:pPr>
      <w:r>
        <w:rPr>
          <w:spacing w:val="4"/>
          <w:sz w:val="22"/>
          <w:szCs w:val="22"/>
          <w:lang w:eastAsia="ar-SA"/>
        </w:rPr>
        <w:t>17.8.</w:t>
        <w:tab/>
      </w:r>
      <w:r>
        <w:rPr>
          <w:sz w:val="22"/>
          <w:szCs w:val="22"/>
        </w:rPr>
        <w:t>Niezwłocznie po otwarciu ofert Zamawiający zamieści na stronie internetowej informacje dotyczące:</w:t>
      </w:r>
    </w:p>
    <w:p>
      <w:pPr>
        <w:pStyle w:val="Normal"/>
        <w:tabs>
          <w:tab w:val="left" w:pos="1134" w:leader="none"/>
        </w:tabs>
        <w:spacing w:lineRule="auto" w:line="276" w:before="120" w:after="120"/>
        <w:ind w:left="720" w:hanging="0"/>
        <w:jc w:val="both"/>
        <w:rPr>
          <w:sz w:val="22"/>
          <w:szCs w:val="22"/>
        </w:rPr>
      </w:pPr>
      <w:r>
        <w:rPr>
          <w:sz w:val="22"/>
          <w:szCs w:val="22"/>
        </w:rPr>
        <w:t xml:space="preserve">a) </w:t>
        <w:tab/>
        <w:t xml:space="preserve">kwoty, jaką zamierza przeznaczyć na sfinansowanie zamówienia; </w:t>
      </w:r>
    </w:p>
    <w:p>
      <w:pPr>
        <w:pStyle w:val="Normal"/>
        <w:tabs>
          <w:tab w:val="left" w:pos="1134" w:leader="none"/>
        </w:tabs>
        <w:spacing w:lineRule="auto" w:line="276" w:before="120" w:after="120"/>
        <w:ind w:left="720" w:hanging="0"/>
        <w:jc w:val="both"/>
        <w:rPr>
          <w:sz w:val="22"/>
          <w:szCs w:val="22"/>
        </w:rPr>
      </w:pPr>
      <w:r>
        <w:rPr>
          <w:sz w:val="22"/>
          <w:szCs w:val="22"/>
        </w:rPr>
        <w:t xml:space="preserve">b) </w:t>
        <w:tab/>
        <w:t xml:space="preserve">firm oraz adresów Wykonawców, którzy złożyli oferty w terminie; </w:t>
      </w:r>
    </w:p>
    <w:p>
      <w:pPr>
        <w:pStyle w:val="Normal"/>
        <w:tabs>
          <w:tab w:val="left" w:pos="1134" w:leader="none"/>
        </w:tabs>
        <w:spacing w:lineRule="auto" w:line="276" w:before="120" w:after="120"/>
        <w:ind w:left="1134" w:hanging="425"/>
        <w:jc w:val="both"/>
        <w:rPr>
          <w:sz w:val="22"/>
          <w:szCs w:val="22"/>
        </w:rPr>
      </w:pPr>
      <w:r>
        <w:rPr>
          <w:sz w:val="22"/>
          <w:szCs w:val="22"/>
        </w:rPr>
        <w:t xml:space="preserve">c) </w:t>
        <w:tab/>
        <w:t>cen i okresów rękojmi zawartych w ofertach.</w:t>
      </w:r>
    </w:p>
    <w:p>
      <w:pPr>
        <w:pStyle w:val="Normal"/>
        <w:suppressAutoHyphens w:val="true"/>
        <w:spacing w:lineRule="auto" w:line="276"/>
        <w:rPr>
          <w:b/>
          <w:b/>
          <w:sz w:val="22"/>
          <w:szCs w:val="22"/>
          <w:lang w:eastAsia="ar-SA"/>
        </w:rPr>
      </w:pPr>
      <w:r>
        <w:rPr>
          <w:b/>
          <w:sz w:val="22"/>
          <w:szCs w:val="22"/>
          <w:lang w:eastAsia="ar-SA"/>
        </w:rPr>
        <w:t>18.</w:t>
        <w:tab/>
      </w:r>
      <w:r>
        <w:rPr>
          <w:b/>
          <w:bCs/>
          <w:sz w:val="22"/>
          <w:szCs w:val="22"/>
        </w:rPr>
        <w:t>TERMIN ZWIĄZANIA OFERTĄ</w:t>
      </w:r>
    </w:p>
    <w:p>
      <w:pPr>
        <w:pStyle w:val="Normal"/>
        <w:suppressAutoHyphens w:val="true"/>
        <w:spacing w:lineRule="auto" w:line="276" w:before="120" w:after="0"/>
        <w:ind w:left="709" w:hanging="709"/>
        <w:jc w:val="both"/>
        <w:rPr>
          <w:sz w:val="22"/>
          <w:szCs w:val="22"/>
        </w:rPr>
      </w:pPr>
      <w:r>
        <w:rPr>
          <w:spacing w:val="4"/>
          <w:sz w:val="22"/>
          <w:szCs w:val="22"/>
          <w:lang w:eastAsia="ar-SA"/>
        </w:rPr>
        <w:t>18.1.</w:t>
        <w:tab/>
      </w:r>
      <w:r>
        <w:rPr>
          <w:spacing w:val="4"/>
          <w:sz w:val="22"/>
          <w:szCs w:val="22"/>
        </w:rPr>
        <w:t xml:space="preserve">Termin związania ofertą wynosi </w:t>
      </w:r>
      <w:r>
        <w:rPr>
          <w:b/>
          <w:spacing w:val="4"/>
          <w:sz w:val="22"/>
          <w:szCs w:val="22"/>
        </w:rPr>
        <w:t>30</w:t>
      </w:r>
      <w:r>
        <w:rPr>
          <w:b/>
          <w:i/>
          <w:spacing w:val="4"/>
          <w:sz w:val="22"/>
          <w:szCs w:val="22"/>
        </w:rPr>
        <w:t xml:space="preserve"> </w:t>
      </w:r>
      <w:r>
        <w:rPr>
          <w:b/>
          <w:bCs/>
          <w:spacing w:val="4"/>
          <w:sz w:val="22"/>
          <w:szCs w:val="22"/>
        </w:rPr>
        <w:t>dni</w:t>
      </w:r>
      <w:r>
        <w:rPr>
          <w:spacing w:val="4"/>
          <w:sz w:val="22"/>
          <w:szCs w:val="22"/>
        </w:rPr>
        <w:t>. Bieg terminu związania ofertą rozpoczyna się wraz z upływem terminu składania ofert.</w:t>
      </w:r>
    </w:p>
    <w:p>
      <w:pPr>
        <w:pStyle w:val="Normal"/>
        <w:suppressAutoHyphens w:val="true"/>
        <w:spacing w:lineRule="auto" w:line="276" w:before="120" w:after="0"/>
        <w:ind w:left="709" w:hanging="709"/>
        <w:jc w:val="both"/>
        <w:rPr>
          <w:sz w:val="22"/>
          <w:szCs w:val="22"/>
        </w:rPr>
      </w:pPr>
      <w:r>
        <w:rPr>
          <w:spacing w:val="4"/>
          <w:sz w:val="22"/>
          <w:szCs w:val="22"/>
          <w:lang w:eastAsia="ar-SA"/>
        </w:rPr>
        <w:t>18.2.</w:t>
        <w:tab/>
      </w:r>
      <w:r>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Pr>
          <w:spacing w:val="4"/>
          <w:sz w:val="22"/>
          <w:szCs w:val="22"/>
        </w:rPr>
        <w:t xml:space="preserve">, o którym mowa w ust. 1 </w:t>
      </w:r>
      <w:r>
        <w:rPr>
          <w:sz w:val="22"/>
          <w:szCs w:val="22"/>
        </w:rPr>
        <w:t>o oznaczony okres, nie dłuższy jednak niż 60 dni.</w:t>
      </w:r>
    </w:p>
    <w:p>
      <w:pPr>
        <w:pStyle w:val="Normal"/>
        <w:suppressAutoHyphens w:val="true"/>
        <w:spacing w:lineRule="auto" w:line="276" w:before="120" w:after="0"/>
        <w:ind w:left="709" w:hanging="709"/>
        <w:jc w:val="both"/>
        <w:rPr>
          <w:sz w:val="22"/>
          <w:szCs w:val="22"/>
        </w:rPr>
      </w:pPr>
      <w:r>
        <w:rPr>
          <w:sz w:val="22"/>
          <w:szCs w:val="22"/>
        </w:rPr>
      </w:r>
    </w:p>
    <w:p>
      <w:pPr>
        <w:pStyle w:val="Normal"/>
        <w:suppressAutoHyphens w:val="true"/>
        <w:spacing w:lineRule="auto" w:line="276"/>
        <w:ind w:left="709" w:right="-567" w:hanging="709"/>
        <w:rPr>
          <w:b/>
          <w:b/>
          <w:sz w:val="22"/>
          <w:szCs w:val="22"/>
          <w:lang w:eastAsia="ar-SA"/>
        </w:rPr>
      </w:pPr>
      <w:r>
        <w:rPr>
          <w:b/>
          <w:sz w:val="22"/>
          <w:szCs w:val="22"/>
          <w:lang w:eastAsia="ar-SA"/>
        </w:rPr>
        <w:t>19.</w:t>
        <w:tab/>
      </w:r>
      <w:r>
        <w:rPr>
          <w:b/>
          <w:bCs/>
          <w:sz w:val="22"/>
          <w:szCs w:val="22"/>
        </w:rPr>
        <w:t>KRYTERIA WYBORU I SPOSÓB OCENY OFERT ORAZ UDZIELENIE ZAMÓWIENIA</w:t>
      </w:r>
    </w:p>
    <w:p>
      <w:pPr>
        <w:pStyle w:val="Normal"/>
        <w:suppressAutoHyphens w:val="true"/>
        <w:spacing w:lineRule="auto" w:line="276" w:before="120" w:after="0"/>
        <w:ind w:left="709" w:hanging="709"/>
        <w:jc w:val="both"/>
        <w:rPr>
          <w:sz w:val="22"/>
          <w:szCs w:val="22"/>
        </w:rPr>
      </w:pPr>
      <w:r>
        <w:rPr>
          <w:spacing w:val="4"/>
          <w:sz w:val="22"/>
          <w:szCs w:val="22"/>
          <w:lang w:eastAsia="ar-SA"/>
        </w:rPr>
        <w:t>19.1.</w:t>
        <w:tab/>
      </w:r>
      <w:r>
        <w:rPr>
          <w:sz w:val="22"/>
          <w:szCs w:val="22"/>
        </w:rPr>
        <w:t>Przy dokonywaniu wyboru najkorzystniejszej oferty Zamawiający stosować będzie następujące kryteria oceny ofert:</w:t>
      </w:r>
    </w:p>
    <w:p>
      <w:pPr>
        <w:pStyle w:val="Normal"/>
        <w:spacing w:lineRule="auto" w:line="276"/>
        <w:jc w:val="both"/>
        <w:rPr>
          <w:b/>
          <w:b/>
          <w:sz w:val="22"/>
          <w:szCs w:val="22"/>
        </w:rPr>
      </w:pPr>
      <w:r>
        <w:rPr>
          <w:b/>
          <w:sz w:val="22"/>
          <w:szCs w:val="22"/>
        </w:rPr>
      </w:r>
    </w:p>
    <w:p>
      <w:pPr>
        <w:pStyle w:val="ListParagraph"/>
        <w:tabs>
          <w:tab w:val="left" w:pos="993" w:leader="none"/>
          <w:tab w:val="left" w:pos="1985" w:leader="none"/>
          <w:tab w:val="left" w:pos="2977" w:leader="none"/>
          <w:tab w:val="left" w:pos="3261" w:leader="none"/>
        </w:tabs>
        <w:spacing w:before="0" w:after="200"/>
        <w:ind w:left="709" w:hanging="0"/>
        <w:contextualSpacing/>
        <w:rPr>
          <w:rFonts w:ascii="Times New Roman" w:hAnsi="Times New Roman" w:cs="Times New Roman"/>
          <w:b/>
          <w:b/>
        </w:rPr>
      </w:pPr>
      <w:r>
        <w:rPr>
          <w:rFonts w:cs="Times New Roman" w:ascii="Times New Roman" w:hAnsi="Times New Roman"/>
          <w:b/>
        </w:rPr>
        <w:tab/>
        <w:tab/>
        <w:tab/>
        <w:tab/>
        <w:t>Cena (C)</w:t>
        <w:tab/>
        <w:t>– 60 %</w:t>
        <w:tab/>
      </w:r>
    </w:p>
    <w:p>
      <w:pPr>
        <w:pStyle w:val="ListParagraph"/>
        <w:tabs>
          <w:tab w:val="left" w:pos="993" w:leader="none"/>
          <w:tab w:val="left" w:pos="1985" w:leader="none"/>
          <w:tab w:val="left" w:pos="2977" w:leader="none"/>
          <w:tab w:val="left" w:pos="3261" w:leader="none"/>
        </w:tabs>
        <w:spacing w:before="0" w:after="200"/>
        <w:ind w:left="709" w:hanging="0"/>
        <w:contextualSpacing/>
        <w:rPr>
          <w:rFonts w:ascii="Times New Roman" w:hAnsi="Times New Roman" w:cs="Times New Roman"/>
          <w:b/>
          <w:b/>
        </w:rPr>
      </w:pPr>
      <w:r>
        <w:rPr>
          <w:rFonts w:cs="Times New Roman" w:ascii="Times New Roman" w:hAnsi="Times New Roman"/>
          <w:b/>
        </w:rPr>
        <w:tab/>
        <w:tab/>
        <w:t xml:space="preserve"> Okres gwarancji (G)</w:t>
        <w:tab/>
        <w:t>– 40 %</w:t>
        <w:tab/>
      </w:r>
    </w:p>
    <w:p>
      <w:pPr>
        <w:pStyle w:val="Normal"/>
        <w:tabs>
          <w:tab w:val="left" w:pos="993" w:leader="none"/>
        </w:tabs>
        <w:suppressAutoHyphens w:val="true"/>
        <w:spacing w:lineRule="auto" w:line="276" w:before="120" w:after="0"/>
        <w:ind w:left="709" w:hanging="709"/>
        <w:jc w:val="both"/>
        <w:rPr>
          <w:b/>
          <w:b/>
          <w:sz w:val="22"/>
          <w:szCs w:val="22"/>
          <w:u w:val="single"/>
        </w:rPr>
      </w:pPr>
      <w:r>
        <w:rPr>
          <w:spacing w:val="4"/>
          <w:sz w:val="22"/>
          <w:szCs w:val="22"/>
          <w:lang w:eastAsia="ar-SA"/>
        </w:rPr>
        <w:t>19.1.1.</w:t>
        <w:tab/>
      </w:r>
      <w:r>
        <w:rPr>
          <w:b/>
          <w:sz w:val="22"/>
          <w:szCs w:val="22"/>
          <w:u w:val="single"/>
        </w:rPr>
        <w:t>Kryterium „Cena”:</w:t>
      </w:r>
    </w:p>
    <w:p>
      <w:pPr>
        <w:pStyle w:val="Tretekstu"/>
        <w:spacing w:lineRule="auto" w:line="276" w:before="120" w:after="120"/>
        <w:ind w:left="567" w:hanging="0"/>
        <w:jc w:val="both"/>
        <w:rPr>
          <w:rFonts w:ascii="Times New Roman" w:hAnsi="Times New Roman" w:cs="Times New Roman"/>
          <w:sz w:val="22"/>
          <w:szCs w:val="22"/>
        </w:rPr>
      </w:pPr>
      <w:r>
        <w:rPr>
          <w:rFonts w:cs="Times New Roman" w:ascii="Times New Roman" w:hAnsi="Times New Roman"/>
          <w:sz w:val="22"/>
          <w:szCs w:val="22"/>
        </w:rPr>
        <w:t xml:space="preserve">Kryterium „Cena” będzie rozpatrywana na podstawie ceny brutto za wykonanie przedmiotu zamówienia, podanej przez Wykonawcę w Formularzu Oferty, </w:t>
      </w:r>
    </w:p>
    <w:p>
      <w:pPr>
        <w:pStyle w:val="Normal"/>
        <w:spacing w:lineRule="auto" w:line="276"/>
        <w:ind w:left="567" w:hanging="0"/>
        <w:jc w:val="both"/>
        <w:rPr>
          <w:sz w:val="22"/>
          <w:szCs w:val="22"/>
        </w:rPr>
      </w:pPr>
      <w:r>
        <w:rPr>
          <w:sz w:val="22"/>
          <w:szCs w:val="22"/>
        </w:rPr>
        <w:t xml:space="preserve">Zamawiający ofercie o najniżej cenie przyzna </w:t>
      </w:r>
      <w:r>
        <w:rPr>
          <w:b/>
          <w:sz w:val="22"/>
          <w:szCs w:val="22"/>
        </w:rPr>
        <w:t>60 punktów,</w:t>
      </w:r>
      <w:r>
        <w:rPr>
          <w:sz w:val="22"/>
          <w:szCs w:val="22"/>
        </w:rPr>
        <w:t xml:space="preserve"> a każdej następnej zostanie przyporządkowana liczba punktów proporcjonalnie mniejszą, według wzoru:</w:t>
      </w:r>
    </w:p>
    <w:p>
      <w:pPr>
        <w:pStyle w:val="Normal"/>
        <w:spacing w:lineRule="auto" w:line="276"/>
        <w:ind w:left="567" w:hanging="0"/>
        <w:jc w:val="both"/>
        <w:rPr>
          <w:sz w:val="22"/>
          <w:szCs w:val="22"/>
        </w:rPr>
      </w:pPr>
      <w:r>
        <w:rPr>
          <w:sz w:val="22"/>
          <w:szCs w:val="22"/>
        </w:rPr>
      </w:r>
    </w:p>
    <w:p>
      <w:pPr>
        <w:pStyle w:val="Normal"/>
        <w:spacing w:lineRule="auto" w:line="276"/>
        <w:ind w:left="360" w:firstLine="284"/>
        <w:jc w:val="both"/>
        <w:rPr>
          <w:sz w:val="22"/>
          <w:szCs w:val="22"/>
        </w:rPr>
      </w:pPr>
      <w:r>
        <w:rPr>
          <w:sz w:val="22"/>
          <w:szCs w:val="22"/>
        </w:rPr>
      </w:r>
    </w:p>
    <w:tbl>
      <w:tblPr>
        <w:tblW w:w="8647" w:type="dxa"/>
        <w:jc w:val="lef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647"/>
      </w:tblGrid>
      <w:tr>
        <w:trPr/>
        <w:tc>
          <w:tcPr>
            <w:tcW w:w="8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tbl>
            <w:tblPr>
              <w:tblW w:w="7540" w:type="dxa"/>
              <w:jc w:val="center"/>
              <w:tblInd w:w="0" w:type="dxa"/>
              <w:tblBorders/>
              <w:tblCellMar>
                <w:top w:w="0" w:type="dxa"/>
                <w:left w:w="70" w:type="dxa"/>
                <w:bottom w:w="0" w:type="dxa"/>
                <w:right w:w="70" w:type="dxa"/>
              </w:tblCellMar>
              <w:tblLook w:firstRow="0" w:noVBand="0" w:lastRow="0" w:firstColumn="0" w:lastColumn="0" w:noHBand="0" w:val="0000"/>
            </w:tblPr>
            <w:tblGrid>
              <w:gridCol w:w="907"/>
              <w:gridCol w:w="667"/>
              <w:gridCol w:w="167"/>
              <w:gridCol w:w="418"/>
              <w:gridCol w:w="1527"/>
              <w:gridCol w:w="3190"/>
              <w:gridCol w:w="246"/>
              <w:gridCol w:w="418"/>
            </w:tblGrid>
            <w:tr>
              <w:trPr>
                <w:trHeight w:val="223" w:hRule="atLeast"/>
                <w:cantSplit w:val="true"/>
              </w:trPr>
              <w:tc>
                <w:tcPr>
                  <w:tcW w:w="1574" w:type="dxa"/>
                  <w:gridSpan w:val="2"/>
                  <w:tcBorders/>
                  <w:shd w:fill="auto" w:val="clear"/>
                </w:tcPr>
                <w:p>
                  <w:pPr>
                    <w:pStyle w:val="Tretekstu"/>
                    <w:spacing w:lineRule="auto" w:line="276"/>
                    <w:ind w:left="705" w:hanging="705"/>
                    <w:rPr>
                      <w:rFonts w:ascii="Times New Roman" w:hAnsi="Times New Roman" w:cs="Times New Roman"/>
                      <w:b/>
                      <w:b/>
                      <w:bCs/>
                    </w:rPr>
                  </w:pPr>
                  <w:r>
                    <w:rPr>
                      <w:rFonts w:cs="Times New Roman" w:ascii="Times New Roman" w:hAnsi="Times New Roman"/>
                      <w:b/>
                      <w:bCs/>
                    </w:rPr>
                  </w:r>
                </w:p>
              </w:tc>
              <w:tc>
                <w:tcPr>
                  <w:tcW w:w="585" w:type="dxa"/>
                  <w:gridSpan w:val="2"/>
                  <w:vMerge w:val="restart"/>
                  <w:tcBorders/>
                  <w:shd w:fill="auto" w:val="clear"/>
                  <w:vAlign w:val="center"/>
                </w:tcPr>
                <w:p>
                  <w:pPr>
                    <w:pStyle w:val="Tretekstu"/>
                    <w:spacing w:lineRule="auto" w:line="276"/>
                    <w:ind w:left="705" w:hanging="705"/>
                    <w:jc w:val="both"/>
                    <w:rPr>
                      <w:rFonts w:ascii="Times New Roman" w:hAnsi="Times New Roman" w:cs="Times New Roman"/>
                      <w:b/>
                      <w:b/>
                      <w:bCs/>
                    </w:rPr>
                  </w:pPr>
                  <w:r>
                    <w:rPr>
                      <w:rFonts w:cs="Times New Roman" w:ascii="Times New Roman" w:hAnsi="Times New Roman"/>
                      <w:b/>
                      <w:bCs/>
                      <w:sz w:val="22"/>
                      <w:szCs w:val="22"/>
                    </w:rPr>
                    <w:t>C =</w:t>
                  </w:r>
                </w:p>
              </w:tc>
              <w:tc>
                <w:tcPr>
                  <w:tcW w:w="1527" w:type="dxa"/>
                  <w:tcBorders>
                    <w:bottom w:val="single" w:sz="4" w:space="0" w:color="00000A"/>
                    <w:insideH w:val="single" w:sz="4" w:space="0" w:color="00000A"/>
                  </w:tcBorders>
                  <w:shd w:fill="auto" w:val="clear"/>
                  <w:vAlign w:val="center"/>
                </w:tcPr>
                <w:p>
                  <w:pPr>
                    <w:pStyle w:val="Tretekstu"/>
                    <w:spacing w:lineRule="auto" w:line="276"/>
                    <w:ind w:left="705" w:hanging="705"/>
                    <w:jc w:val="center"/>
                    <w:rPr>
                      <w:rFonts w:ascii="Times New Roman" w:hAnsi="Times New Roman" w:cs="Times New Roman"/>
                      <w:b/>
                      <w:b/>
                      <w:bCs/>
                    </w:rPr>
                  </w:pPr>
                  <w:r>
                    <w:rPr>
                      <w:rFonts w:cs="Times New Roman" w:ascii="Times New Roman" w:hAnsi="Times New Roman"/>
                      <w:b/>
                      <w:bCs/>
                      <w:sz w:val="22"/>
                      <w:szCs w:val="22"/>
                    </w:rPr>
                    <w:t xml:space="preserve">C </w:t>
                  </w:r>
                  <w:r>
                    <w:rPr>
                      <w:rFonts w:cs="Times New Roman" w:ascii="Times New Roman" w:hAnsi="Times New Roman"/>
                      <w:b/>
                      <w:bCs/>
                      <w:sz w:val="22"/>
                      <w:szCs w:val="22"/>
                      <w:vertAlign w:val="subscript"/>
                    </w:rPr>
                    <w:t>min</w:t>
                  </w:r>
                </w:p>
              </w:tc>
              <w:tc>
                <w:tcPr>
                  <w:tcW w:w="3854" w:type="dxa"/>
                  <w:gridSpan w:val="3"/>
                  <w:vMerge w:val="restart"/>
                  <w:tcBorders/>
                  <w:shd w:fill="auto" w:val="clear"/>
                  <w:vAlign w:val="center"/>
                </w:tcPr>
                <w:p>
                  <w:pPr>
                    <w:pStyle w:val="Tretekstu"/>
                    <w:spacing w:lineRule="auto" w:line="276"/>
                    <w:ind w:left="705" w:hanging="705"/>
                    <w:jc w:val="both"/>
                    <w:rPr>
                      <w:rFonts w:ascii="Times New Roman" w:hAnsi="Times New Roman" w:cs="Times New Roman"/>
                      <w:b/>
                      <w:b/>
                      <w:bCs/>
                    </w:rPr>
                  </w:pPr>
                  <w:r>
                    <w:rPr>
                      <w:rFonts w:cs="Times New Roman" w:ascii="Times New Roman" w:hAnsi="Times New Roman"/>
                      <w:b/>
                      <w:bCs/>
                      <w:sz w:val="22"/>
                      <w:szCs w:val="22"/>
                    </w:rPr>
                    <w:t>x 100 x 60%</w:t>
                  </w:r>
                </w:p>
              </w:tc>
            </w:tr>
            <w:tr>
              <w:trPr>
                <w:trHeight w:val="223" w:hRule="atLeast"/>
                <w:cantSplit w:val="true"/>
              </w:trPr>
              <w:tc>
                <w:tcPr>
                  <w:tcW w:w="1574" w:type="dxa"/>
                  <w:gridSpan w:val="2"/>
                  <w:tcBorders/>
                  <w:shd w:fill="auto" w:val="clear"/>
                </w:tcPr>
                <w:p>
                  <w:pPr>
                    <w:pStyle w:val="Tretekstu"/>
                    <w:spacing w:lineRule="auto" w:line="276"/>
                    <w:ind w:left="705" w:hanging="705"/>
                    <w:rPr>
                      <w:rFonts w:ascii="Times New Roman" w:hAnsi="Times New Roman" w:cs="Times New Roman"/>
                      <w:b/>
                      <w:b/>
                      <w:bCs/>
                    </w:rPr>
                  </w:pPr>
                  <w:r>
                    <w:rPr>
                      <w:rFonts w:cs="Times New Roman" w:ascii="Times New Roman" w:hAnsi="Times New Roman"/>
                      <w:b/>
                      <w:bCs/>
                    </w:rPr>
                  </w:r>
                </w:p>
              </w:tc>
              <w:tc>
                <w:tcPr>
                  <w:tcW w:w="585" w:type="dxa"/>
                  <w:gridSpan w:val="2"/>
                  <w:vMerge w:val="continue"/>
                  <w:tcBorders/>
                  <w:shd w:fill="auto" w:val="clear"/>
                  <w:vAlign w:val="center"/>
                </w:tcPr>
                <w:p>
                  <w:pPr>
                    <w:pStyle w:val="Tretekstu"/>
                    <w:spacing w:lineRule="auto" w:line="276"/>
                    <w:ind w:left="705" w:hanging="705"/>
                    <w:rPr>
                      <w:rFonts w:ascii="Times New Roman" w:hAnsi="Times New Roman" w:cs="Times New Roman"/>
                      <w:b/>
                      <w:b/>
                      <w:bCs/>
                    </w:rPr>
                  </w:pPr>
                  <w:r>
                    <w:rPr>
                      <w:rFonts w:cs="Times New Roman" w:ascii="Times New Roman" w:hAnsi="Times New Roman"/>
                      <w:b/>
                      <w:bCs/>
                    </w:rPr>
                  </w:r>
                </w:p>
              </w:tc>
              <w:tc>
                <w:tcPr>
                  <w:tcW w:w="1527" w:type="dxa"/>
                  <w:tcBorders>
                    <w:top w:val="single" w:sz="4" w:space="0" w:color="00000A"/>
                  </w:tcBorders>
                  <w:shd w:fill="auto" w:val="clear"/>
                  <w:vAlign w:val="center"/>
                </w:tcPr>
                <w:p>
                  <w:pPr>
                    <w:pStyle w:val="Tretekstu"/>
                    <w:spacing w:lineRule="auto" w:line="276"/>
                    <w:ind w:left="705" w:hanging="705"/>
                    <w:jc w:val="center"/>
                    <w:rPr>
                      <w:rFonts w:ascii="Times New Roman" w:hAnsi="Times New Roman" w:cs="Times New Roman"/>
                      <w:b/>
                      <w:b/>
                      <w:bCs/>
                    </w:rPr>
                  </w:pPr>
                  <w:r>
                    <w:rPr>
                      <w:rFonts w:cs="Times New Roman" w:ascii="Times New Roman" w:hAnsi="Times New Roman"/>
                      <w:b/>
                      <w:bCs/>
                      <w:sz w:val="22"/>
                      <w:szCs w:val="22"/>
                    </w:rPr>
                    <w:t xml:space="preserve">C </w:t>
                  </w:r>
                  <w:r>
                    <w:rPr>
                      <w:rFonts w:cs="Times New Roman" w:ascii="Times New Roman" w:hAnsi="Times New Roman"/>
                      <w:b/>
                      <w:bCs/>
                      <w:sz w:val="22"/>
                      <w:szCs w:val="22"/>
                      <w:vertAlign w:val="subscript"/>
                    </w:rPr>
                    <w:t>b</w:t>
                  </w:r>
                </w:p>
              </w:tc>
              <w:tc>
                <w:tcPr>
                  <w:tcW w:w="3854" w:type="dxa"/>
                  <w:gridSpan w:val="3"/>
                  <w:vMerge w:val="continue"/>
                  <w:tcBorders/>
                  <w:shd w:fill="auto" w:val="clear"/>
                  <w:vAlign w:val="center"/>
                </w:tcPr>
                <w:p>
                  <w:pPr>
                    <w:pStyle w:val="Tretekstu"/>
                    <w:spacing w:lineRule="auto" w:line="276"/>
                    <w:ind w:left="705" w:hanging="705"/>
                    <w:rPr>
                      <w:rFonts w:ascii="Times New Roman" w:hAnsi="Times New Roman" w:cs="Times New Roman"/>
                      <w:b/>
                      <w:b/>
                      <w:bCs/>
                    </w:rPr>
                  </w:pPr>
                  <w:r>
                    <w:rPr>
                      <w:rFonts w:cs="Times New Roman" w:ascii="Times New Roman" w:hAnsi="Times New Roman"/>
                      <w:b/>
                      <w:bCs/>
                    </w:rPr>
                  </w:r>
                </w:p>
              </w:tc>
            </w:tr>
            <w:tr>
              <w:trPr>
                <w:trHeight w:val="438" w:hRule="atLeast"/>
                <w:cantSplit w:val="true"/>
              </w:trPr>
              <w:tc>
                <w:tcPr>
                  <w:tcW w:w="907" w:type="dxa"/>
                  <w:tcBorders/>
                  <w:shd w:fill="auto" w:val="clear"/>
                  <w:vAlign w:val="bottom"/>
                </w:tcPr>
                <w:p>
                  <w:pPr>
                    <w:pStyle w:val="Tretekstu"/>
                    <w:spacing w:lineRule="auto" w:line="276"/>
                    <w:ind w:hanging="705"/>
                    <w:jc w:val="center"/>
                    <w:rPr>
                      <w:rFonts w:ascii="Times New Roman" w:hAnsi="Times New Roman" w:cs="Times New Roman"/>
                      <w:b/>
                      <w:b/>
                      <w:bCs/>
                    </w:rPr>
                  </w:pPr>
                  <w:r>
                    <w:rPr>
                      <w:rFonts w:cs="Times New Roman" w:ascii="Times New Roman" w:hAnsi="Times New Roman"/>
                      <w:b/>
                      <w:bCs/>
                    </w:rPr>
                  </w:r>
                </w:p>
              </w:tc>
              <w:tc>
                <w:tcPr>
                  <w:tcW w:w="667" w:type="dxa"/>
                  <w:tcBorders/>
                  <w:shd w:fill="auto" w:val="clear"/>
                  <w:vAlign w:val="bottom"/>
                </w:tcPr>
                <w:p>
                  <w:pPr>
                    <w:pStyle w:val="Tretekstu"/>
                    <w:spacing w:lineRule="auto" w:line="276"/>
                    <w:ind w:left="705" w:hanging="705"/>
                    <w:rPr>
                      <w:rFonts w:ascii="Times New Roman" w:hAnsi="Times New Roman" w:cs="Times New Roman"/>
                      <w:b/>
                      <w:b/>
                      <w:bCs/>
                    </w:rPr>
                  </w:pPr>
                  <w:r>
                    <w:rPr>
                      <w:rFonts w:cs="Times New Roman" w:ascii="Times New Roman" w:hAnsi="Times New Roman"/>
                      <w:b/>
                      <w:bCs/>
                      <w:sz w:val="22"/>
                      <w:szCs w:val="22"/>
                    </w:rPr>
                    <w:t>gdzie</w:t>
                  </w:r>
                </w:p>
              </w:tc>
              <w:tc>
                <w:tcPr>
                  <w:tcW w:w="5302" w:type="dxa"/>
                  <w:gridSpan w:val="4"/>
                  <w:tcBorders/>
                  <w:shd w:fill="auto" w:val="clear"/>
                  <w:vAlign w:val="bottom"/>
                </w:tcPr>
                <w:p>
                  <w:pPr>
                    <w:pStyle w:val="Tretekstu"/>
                    <w:spacing w:lineRule="auto" w:line="276"/>
                    <w:rPr>
                      <w:rFonts w:ascii="Times New Roman" w:hAnsi="Times New Roman" w:cs="Times New Roman"/>
                      <w:b/>
                      <w:b/>
                      <w:bCs/>
                    </w:rPr>
                  </w:pPr>
                  <w:r>
                    <w:rPr>
                      <w:rFonts w:cs="Times New Roman" w:ascii="Times New Roman" w:hAnsi="Times New Roman"/>
                      <w:b/>
                      <w:bCs/>
                      <w:sz w:val="22"/>
                      <w:szCs w:val="22"/>
                    </w:rPr>
                    <w:t xml:space="preserve">                                                                     </w:t>
                  </w:r>
                </w:p>
                <w:p>
                  <w:pPr>
                    <w:pStyle w:val="Tretekstu"/>
                    <w:spacing w:lineRule="auto" w:line="276"/>
                    <w:ind w:left="-443" w:right="-665" w:firstLine="443"/>
                    <w:rPr>
                      <w:rFonts w:ascii="Times New Roman" w:hAnsi="Times New Roman" w:cs="Times New Roman"/>
                      <w:b/>
                      <w:b/>
                      <w:bCs/>
                    </w:rPr>
                  </w:pPr>
                  <w:r>
                    <w:rPr>
                      <w:rFonts w:cs="Times New Roman" w:ascii="Times New Roman" w:hAnsi="Times New Roman"/>
                      <w:b/>
                      <w:bCs/>
                      <w:sz w:val="22"/>
                      <w:szCs w:val="22"/>
                    </w:rPr>
                    <w:t>C</w:t>
                  </w:r>
                  <w:r>
                    <w:rPr>
                      <w:rFonts w:cs="Times New Roman" w:ascii="Times New Roman" w:hAnsi="Times New Roman"/>
                      <w:b/>
                      <w:bCs/>
                      <w:sz w:val="22"/>
                      <w:szCs w:val="22"/>
                      <w:vertAlign w:val="subscript"/>
                    </w:rPr>
                    <w:t xml:space="preserve"> min  </w:t>
                  </w:r>
                  <w:r>
                    <w:rPr>
                      <w:rFonts w:cs="Times New Roman" w:ascii="Times New Roman" w:hAnsi="Times New Roman"/>
                      <w:b/>
                      <w:bCs/>
                      <w:sz w:val="22"/>
                      <w:szCs w:val="22"/>
                    </w:rPr>
                    <w:t xml:space="preserve">(zł) – najniższa cena brutto z ocenianych ofert </w:t>
                  </w:r>
                </w:p>
              </w:tc>
              <w:tc>
                <w:tcPr>
                  <w:tcW w:w="246" w:type="dxa"/>
                  <w:tcBorders/>
                  <w:shd w:fill="auto" w:val="clear"/>
                </w:tcPr>
                <w:p>
                  <w:pPr>
                    <w:pStyle w:val="Normal"/>
                    <w:rPr/>
                  </w:pPr>
                  <w:r>
                    <w:rPr/>
                  </w:r>
                </w:p>
              </w:tc>
              <w:tc>
                <w:tcPr>
                  <w:tcW w:w="418" w:type="dxa"/>
                  <w:tcBorders/>
                  <w:shd w:fill="auto" w:val="clear"/>
                </w:tcPr>
                <w:p>
                  <w:pPr>
                    <w:pStyle w:val="Normal"/>
                    <w:rPr/>
                  </w:pPr>
                  <w:r>
                    <w:rPr/>
                  </w:r>
                </w:p>
              </w:tc>
            </w:tr>
            <w:tr>
              <w:trPr>
                <w:trHeight w:val="553" w:hRule="atLeast"/>
                <w:cantSplit w:val="true"/>
              </w:trPr>
              <w:tc>
                <w:tcPr>
                  <w:tcW w:w="1574" w:type="dxa"/>
                  <w:gridSpan w:val="2"/>
                  <w:tcBorders/>
                  <w:shd w:fill="auto" w:val="clear"/>
                  <w:vAlign w:val="center"/>
                </w:tcPr>
                <w:p>
                  <w:pPr>
                    <w:pStyle w:val="Tretekstu"/>
                    <w:spacing w:lineRule="auto" w:line="276"/>
                    <w:ind w:left="705" w:hanging="705"/>
                    <w:rPr>
                      <w:rFonts w:ascii="Times New Roman" w:hAnsi="Times New Roman" w:cs="Times New Roman"/>
                      <w:b/>
                      <w:b/>
                      <w:bCs/>
                    </w:rPr>
                  </w:pPr>
                  <w:r>
                    <w:rPr>
                      <w:rFonts w:cs="Times New Roman" w:ascii="Times New Roman" w:hAnsi="Times New Roman"/>
                      <w:b/>
                      <w:bCs/>
                    </w:rPr>
                  </w:r>
                </w:p>
              </w:tc>
              <w:tc>
                <w:tcPr>
                  <w:tcW w:w="167" w:type="dxa"/>
                  <w:tcBorders/>
                  <w:shd w:fill="auto" w:val="clear"/>
                  <w:vAlign w:val="bottom"/>
                </w:tcPr>
                <w:p>
                  <w:pPr>
                    <w:pStyle w:val="Tretekstu"/>
                    <w:spacing w:lineRule="auto" w:line="276"/>
                    <w:ind w:left="705" w:hanging="705"/>
                    <w:jc w:val="center"/>
                    <w:rPr>
                      <w:rFonts w:ascii="Times New Roman" w:hAnsi="Times New Roman" w:cs="Times New Roman"/>
                      <w:b/>
                      <w:b/>
                      <w:bCs/>
                    </w:rPr>
                  </w:pPr>
                  <w:r>
                    <w:rPr>
                      <w:rFonts w:cs="Times New Roman" w:ascii="Times New Roman" w:hAnsi="Times New Roman"/>
                      <w:b/>
                      <w:bCs/>
                    </w:rPr>
                  </w:r>
                </w:p>
              </w:tc>
              <w:tc>
                <w:tcPr>
                  <w:tcW w:w="5381" w:type="dxa"/>
                  <w:gridSpan w:val="4"/>
                  <w:tcBorders/>
                  <w:shd w:fill="auto" w:val="clear"/>
                  <w:vAlign w:val="bottom"/>
                </w:tcPr>
                <w:p>
                  <w:pPr>
                    <w:pStyle w:val="Tretekstu"/>
                    <w:spacing w:lineRule="auto" w:line="276"/>
                    <w:ind w:left="705" w:hanging="705"/>
                    <w:rPr>
                      <w:rFonts w:ascii="Times New Roman" w:hAnsi="Times New Roman" w:cs="Times New Roman"/>
                      <w:b/>
                      <w:b/>
                      <w:bCs/>
                    </w:rPr>
                  </w:pPr>
                  <w:r>
                    <w:rPr>
                      <w:rFonts w:cs="Times New Roman" w:ascii="Times New Roman" w:hAnsi="Times New Roman"/>
                      <w:b/>
                      <w:bCs/>
                      <w:sz w:val="22"/>
                      <w:szCs w:val="22"/>
                    </w:rPr>
                    <w:t xml:space="preserve">  </w:t>
                  </w:r>
                  <w:r>
                    <w:rPr>
                      <w:rFonts w:cs="Times New Roman" w:ascii="Times New Roman" w:hAnsi="Times New Roman"/>
                      <w:b/>
                      <w:bCs/>
                      <w:sz w:val="22"/>
                      <w:szCs w:val="22"/>
                    </w:rPr>
                    <w:t>C</w:t>
                  </w:r>
                  <w:r>
                    <w:rPr>
                      <w:rFonts w:cs="Times New Roman" w:ascii="Times New Roman" w:hAnsi="Times New Roman"/>
                      <w:b/>
                      <w:bCs/>
                      <w:sz w:val="22"/>
                      <w:szCs w:val="22"/>
                      <w:vertAlign w:val="subscript"/>
                    </w:rPr>
                    <w:t>b (</w:t>
                  </w:r>
                  <w:r>
                    <w:rPr>
                      <w:rFonts w:cs="Times New Roman" w:ascii="Times New Roman" w:hAnsi="Times New Roman"/>
                      <w:b/>
                      <w:bCs/>
                      <w:sz w:val="22"/>
                      <w:szCs w:val="22"/>
                    </w:rPr>
                    <w:t>zł)</w:t>
                  </w:r>
                  <w:r>
                    <w:rPr>
                      <w:rFonts w:cs="Times New Roman" w:ascii="Times New Roman" w:hAnsi="Times New Roman"/>
                      <w:b/>
                      <w:bCs/>
                      <w:sz w:val="22"/>
                      <w:szCs w:val="22"/>
                      <w:vertAlign w:val="subscript"/>
                    </w:rPr>
                    <w:t xml:space="preserve"> </w:t>
                  </w:r>
                  <w:r>
                    <w:rPr>
                      <w:rFonts w:cs="Times New Roman" w:ascii="Times New Roman" w:hAnsi="Times New Roman"/>
                      <w:b/>
                      <w:bCs/>
                      <w:sz w:val="22"/>
                      <w:szCs w:val="22"/>
                    </w:rPr>
                    <w:t xml:space="preserve">– cena brutto badanej oferty </w:t>
                  </w:r>
                </w:p>
                <w:p>
                  <w:pPr>
                    <w:pStyle w:val="Tretekstu"/>
                    <w:spacing w:lineRule="auto" w:line="276"/>
                    <w:ind w:left="705" w:hanging="705"/>
                    <w:rPr>
                      <w:rFonts w:ascii="Times New Roman" w:hAnsi="Times New Roman" w:cs="Times New Roman"/>
                      <w:b/>
                      <w:b/>
                      <w:bCs/>
                    </w:rPr>
                  </w:pPr>
                  <w:r>
                    <w:rPr>
                      <w:rFonts w:cs="Times New Roman" w:ascii="Times New Roman" w:hAnsi="Times New Roman"/>
                      <w:b/>
                      <w:bCs/>
                    </w:rPr>
                  </w:r>
                </w:p>
              </w:tc>
              <w:tc>
                <w:tcPr>
                  <w:tcW w:w="418" w:type="dxa"/>
                  <w:tcBorders/>
                  <w:shd w:fill="auto" w:val="clear"/>
                </w:tcPr>
                <w:p>
                  <w:pPr>
                    <w:pStyle w:val="Normal"/>
                    <w:rPr/>
                  </w:pPr>
                  <w:r>
                    <w:rPr/>
                  </w:r>
                </w:p>
              </w:tc>
            </w:tr>
          </w:tbl>
          <w:p>
            <w:pPr>
              <w:pStyle w:val="Normal"/>
              <w:spacing w:lineRule="auto" w:line="276"/>
              <w:jc w:val="both"/>
              <w:rPr/>
            </w:pPr>
            <w:r>
              <w:rPr/>
            </w:r>
          </w:p>
        </w:tc>
      </w:tr>
    </w:tbl>
    <w:p>
      <w:pPr>
        <w:pStyle w:val="Normal"/>
        <w:spacing w:lineRule="auto" w:line="276"/>
        <w:ind w:left="360" w:firstLine="284"/>
        <w:jc w:val="both"/>
        <w:rPr>
          <w:sz w:val="22"/>
          <w:szCs w:val="22"/>
        </w:rPr>
      </w:pPr>
      <w:r>
        <w:rPr>
          <w:sz w:val="22"/>
          <w:szCs w:val="22"/>
        </w:rPr>
      </w:r>
    </w:p>
    <w:p>
      <w:pPr>
        <w:pStyle w:val="Normal"/>
        <w:tabs>
          <w:tab w:val="left" w:pos="993" w:leader="none"/>
        </w:tabs>
        <w:suppressAutoHyphens w:val="true"/>
        <w:spacing w:lineRule="auto" w:line="276" w:before="120" w:after="0"/>
        <w:ind w:left="709" w:hanging="709"/>
        <w:jc w:val="both"/>
        <w:rPr>
          <w:spacing w:val="4"/>
          <w:sz w:val="22"/>
          <w:szCs w:val="22"/>
          <w:lang w:eastAsia="ar-SA"/>
        </w:rPr>
      </w:pPr>
      <w:r>
        <w:rPr>
          <w:spacing w:val="4"/>
          <w:sz w:val="22"/>
          <w:szCs w:val="22"/>
          <w:lang w:eastAsia="ar-SA"/>
        </w:rPr>
        <w:t>19.1.2.</w:t>
        <w:tab/>
      </w:r>
      <w:r>
        <w:rPr>
          <w:b/>
          <w:spacing w:val="4"/>
          <w:sz w:val="22"/>
          <w:szCs w:val="22"/>
          <w:u w:val="single"/>
          <w:lang w:eastAsia="ar-SA"/>
        </w:rPr>
        <w:t>Kryterium „Okres gwarancji”</w:t>
      </w:r>
    </w:p>
    <w:p>
      <w:pPr>
        <w:pStyle w:val="Normal"/>
        <w:spacing w:lineRule="auto" w:line="276"/>
        <w:ind w:left="705" w:hanging="0"/>
        <w:jc w:val="both"/>
        <w:rPr>
          <w:sz w:val="22"/>
          <w:szCs w:val="22"/>
        </w:rPr>
      </w:pPr>
      <w:r>
        <w:rPr>
          <w:sz w:val="22"/>
          <w:szCs w:val="22"/>
        </w:rPr>
      </w:r>
    </w:p>
    <w:p>
      <w:pPr>
        <w:pStyle w:val="Normal"/>
        <w:spacing w:lineRule="auto" w:line="276"/>
        <w:ind w:left="720" w:hanging="0"/>
        <w:jc w:val="both"/>
        <w:rPr>
          <w:b/>
          <w:b/>
          <w:bCs/>
          <w:sz w:val="22"/>
          <w:szCs w:val="22"/>
        </w:rPr>
      </w:pPr>
      <w:r>
        <w:rPr>
          <w:b/>
          <w:bCs/>
          <w:sz w:val="22"/>
          <w:szCs w:val="22"/>
        </w:rPr>
        <w:t xml:space="preserve">Okres gwarancji </w:t>
      </w:r>
    </w:p>
    <w:p>
      <w:pPr>
        <w:pStyle w:val="Normal"/>
        <w:spacing w:lineRule="auto" w:line="276"/>
        <w:ind w:left="720" w:hanging="0"/>
        <w:jc w:val="both"/>
        <w:rPr>
          <w:sz w:val="22"/>
          <w:szCs w:val="22"/>
        </w:rPr>
      </w:pPr>
      <w:r>
        <w:rPr>
          <w:bCs/>
          <w:sz w:val="22"/>
          <w:szCs w:val="22"/>
        </w:rPr>
        <w:t xml:space="preserve">Ocenie podlega okres gwarancji udzielonej przez Wykonawcę na </w:t>
      </w:r>
      <w:r>
        <w:rPr>
          <w:sz w:val="22"/>
          <w:szCs w:val="22"/>
        </w:rPr>
        <w:t>przedmiot zamówienia.</w:t>
      </w:r>
    </w:p>
    <w:p>
      <w:pPr>
        <w:pStyle w:val="Default"/>
        <w:tabs>
          <w:tab w:val="left" w:pos="709" w:leader="none"/>
          <w:tab w:val="left" w:pos="851" w:leader="none"/>
        </w:tabs>
        <w:spacing w:lineRule="auto" w:line="276"/>
        <w:ind w:left="720" w:hanging="0"/>
        <w:jc w:val="both"/>
        <w:rPr>
          <w:color w:val="00000A"/>
          <w:sz w:val="22"/>
          <w:szCs w:val="22"/>
        </w:rPr>
      </w:pPr>
      <w:r>
        <w:rPr>
          <w:color w:val="00000A"/>
          <w:sz w:val="22"/>
          <w:szCs w:val="22"/>
        </w:rPr>
        <w:t xml:space="preserve">Minimalny okres </w:t>
      </w:r>
      <w:r>
        <w:rPr>
          <w:bCs/>
          <w:sz w:val="22"/>
          <w:szCs w:val="22"/>
        </w:rPr>
        <w:t>gwarancji</w:t>
      </w:r>
      <w:r>
        <w:rPr>
          <w:color w:val="00000A"/>
          <w:sz w:val="22"/>
          <w:szCs w:val="22"/>
        </w:rPr>
        <w:t xml:space="preserve"> wymagany przez Zamawiającego</w:t>
      </w:r>
      <w:r>
        <w:rPr>
          <w:b/>
          <w:color w:val="00000A"/>
          <w:sz w:val="22"/>
          <w:szCs w:val="22"/>
        </w:rPr>
        <w:t xml:space="preserve"> </w:t>
      </w:r>
      <w:r>
        <w:rPr>
          <w:color w:val="00000A"/>
          <w:sz w:val="22"/>
          <w:szCs w:val="22"/>
        </w:rPr>
        <w:t xml:space="preserve">wynosi 36 miesięcy. </w:t>
      </w:r>
    </w:p>
    <w:p>
      <w:pPr>
        <w:pStyle w:val="Default"/>
        <w:tabs>
          <w:tab w:val="left" w:pos="0" w:leader="none"/>
          <w:tab w:val="left" w:pos="709" w:leader="none"/>
          <w:tab w:val="left" w:pos="851" w:leader="none"/>
        </w:tabs>
        <w:spacing w:lineRule="auto" w:line="276"/>
        <w:ind w:left="709" w:hanging="0"/>
        <w:jc w:val="both"/>
        <w:rPr>
          <w:color w:val="00000A"/>
          <w:sz w:val="22"/>
          <w:szCs w:val="22"/>
        </w:rPr>
      </w:pPr>
      <w:r>
        <w:rPr>
          <w:bCs/>
          <w:color w:val="00000A"/>
          <w:sz w:val="22"/>
          <w:szCs w:val="22"/>
        </w:rPr>
        <w:t xml:space="preserve">Okres </w:t>
      </w:r>
      <w:r>
        <w:rPr>
          <w:bCs/>
          <w:sz w:val="22"/>
          <w:szCs w:val="22"/>
        </w:rPr>
        <w:t>gwarancji</w:t>
      </w:r>
      <w:r>
        <w:rPr>
          <w:bCs/>
          <w:color w:val="00000A"/>
          <w:sz w:val="22"/>
          <w:szCs w:val="22"/>
        </w:rPr>
        <w:t xml:space="preserve"> należy określić w formularzu oferty w miesiącach, w liczbach całkowitych. W przypadku określenia okresu </w:t>
      </w:r>
      <w:r>
        <w:rPr>
          <w:bCs/>
          <w:sz w:val="22"/>
          <w:szCs w:val="22"/>
        </w:rPr>
        <w:t>gwarancji</w:t>
      </w:r>
      <w:r>
        <w:rPr>
          <w:bCs/>
          <w:color w:val="00000A"/>
          <w:sz w:val="22"/>
          <w:szCs w:val="22"/>
        </w:rPr>
        <w:t xml:space="preserve"> w wartości ułamkowej, Zamawiający zaokrągli wartość ułamkową w dół do najbliższej liczby całkowitej. </w:t>
      </w:r>
    </w:p>
    <w:p>
      <w:pPr>
        <w:pStyle w:val="Normal"/>
        <w:spacing w:lineRule="auto" w:line="276"/>
        <w:ind w:left="720" w:hanging="0"/>
        <w:jc w:val="both"/>
        <w:rPr>
          <w:iCs/>
          <w:sz w:val="22"/>
          <w:szCs w:val="22"/>
        </w:rPr>
      </w:pPr>
      <w:r>
        <w:rPr>
          <w:iCs/>
          <w:sz w:val="22"/>
          <w:szCs w:val="22"/>
        </w:rPr>
        <w:t xml:space="preserve">W przypadku, gdy Wykonawca zaoferuje okres </w:t>
      </w:r>
      <w:r>
        <w:rPr>
          <w:bCs/>
          <w:sz w:val="22"/>
          <w:szCs w:val="22"/>
        </w:rPr>
        <w:t>gwarancji</w:t>
      </w:r>
      <w:r>
        <w:rPr>
          <w:iCs/>
          <w:sz w:val="22"/>
          <w:szCs w:val="22"/>
        </w:rPr>
        <w:t xml:space="preserve"> dłuższy niż </w:t>
        <w:br/>
        <w:t>60 miesięcy, Zamawiający, w celu obliczenia punktów, przyjmie okres 60 miesięcy.</w:t>
      </w:r>
    </w:p>
    <w:p>
      <w:pPr>
        <w:pStyle w:val="Default"/>
        <w:tabs>
          <w:tab w:val="left" w:pos="709" w:leader="none"/>
          <w:tab w:val="left" w:pos="851" w:leader="none"/>
        </w:tabs>
        <w:spacing w:lineRule="auto" w:line="276"/>
        <w:ind w:left="720" w:hanging="0"/>
        <w:jc w:val="both"/>
        <w:rPr>
          <w:color w:val="00000A"/>
          <w:sz w:val="22"/>
          <w:szCs w:val="22"/>
        </w:rPr>
      </w:pPr>
      <w:r>
        <w:rPr>
          <w:color w:val="00000A"/>
          <w:sz w:val="22"/>
          <w:szCs w:val="22"/>
        </w:rPr>
        <w:t xml:space="preserve">W przypadku nie wypełnienia przez Wykonawcę w formularzu ofertowym pola określającego długość okresu </w:t>
      </w:r>
      <w:r>
        <w:rPr>
          <w:bCs/>
          <w:sz w:val="22"/>
          <w:szCs w:val="22"/>
        </w:rPr>
        <w:t>gwarancji</w:t>
      </w:r>
      <w:r>
        <w:rPr>
          <w:color w:val="00000A"/>
          <w:sz w:val="22"/>
          <w:szCs w:val="22"/>
        </w:rPr>
        <w:t xml:space="preserve"> będzie to równoznaczne z udzieleniem 36 miesięcznego okresu </w:t>
      </w:r>
      <w:r>
        <w:rPr>
          <w:bCs/>
          <w:sz w:val="22"/>
          <w:szCs w:val="22"/>
        </w:rPr>
        <w:t>gwarancji</w:t>
      </w:r>
      <w:r>
        <w:rPr>
          <w:color w:val="00000A"/>
          <w:sz w:val="22"/>
          <w:szCs w:val="22"/>
        </w:rPr>
        <w:t>. Oferta będzie traktowana jako ważna nie podlegająca odrzuceniu i zostanie poddana ocenie pod warunkiem, iż nie będzie innych powodów skutkujących odrzuceniem takiej oferty.</w:t>
      </w:r>
    </w:p>
    <w:p>
      <w:pPr>
        <w:pStyle w:val="Normal"/>
        <w:tabs>
          <w:tab w:val="left" w:pos="720" w:leader="none"/>
        </w:tabs>
        <w:spacing w:lineRule="auto" w:line="276"/>
        <w:ind w:left="720" w:hanging="0"/>
        <w:jc w:val="both"/>
        <w:rPr>
          <w:sz w:val="22"/>
          <w:szCs w:val="22"/>
        </w:rPr>
      </w:pPr>
      <w:r>
        <w:rPr>
          <w:sz w:val="22"/>
          <w:szCs w:val="22"/>
        </w:rPr>
        <w:t xml:space="preserve">Liczba punktów, jaką można uzyskać w tym kryterium zostanie obliczona zgodnie          z wzorem: </w:t>
      </w:r>
    </w:p>
    <w:p>
      <w:pPr>
        <w:pStyle w:val="Normal"/>
        <w:tabs>
          <w:tab w:val="left" w:pos="720" w:leader="none"/>
        </w:tabs>
        <w:spacing w:lineRule="auto" w:line="276"/>
        <w:ind w:left="720" w:hanging="0"/>
        <w:jc w:val="both"/>
        <w:rPr>
          <w:sz w:val="22"/>
          <w:szCs w:val="22"/>
        </w:rPr>
      </w:pPr>
      <w:r>
        <w:rPr>
          <w:sz w:val="22"/>
          <w:szCs w:val="22"/>
        </w:rPr>
      </w:r>
    </w:p>
    <w:tbl>
      <w:tblPr>
        <w:tblW w:w="8314" w:type="dxa"/>
        <w:jc w:val="left"/>
        <w:tblInd w:w="8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8314"/>
      </w:tblGrid>
      <w:tr>
        <w:trPr>
          <w:trHeight w:val="1467" w:hRule="atLeast"/>
        </w:trPr>
        <w:tc>
          <w:tcPr>
            <w:tcW w:w="8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tbl>
            <w:tblPr>
              <w:tblW w:w="6120" w:type="dxa"/>
              <w:jc w:val="center"/>
              <w:tblInd w:w="0" w:type="dxa"/>
              <w:tblBorders/>
              <w:tblCellMar>
                <w:top w:w="0" w:type="dxa"/>
                <w:left w:w="70" w:type="dxa"/>
                <w:bottom w:w="0" w:type="dxa"/>
                <w:right w:w="70" w:type="dxa"/>
              </w:tblCellMar>
              <w:tblLook w:firstRow="0" w:noVBand="0" w:lastRow="0" w:firstColumn="0" w:lastColumn="0" w:noHBand="0" w:val="0000"/>
            </w:tblPr>
            <w:tblGrid>
              <w:gridCol w:w="857"/>
              <w:gridCol w:w="703"/>
              <w:gridCol w:w="1527"/>
              <w:gridCol w:w="3032"/>
            </w:tblGrid>
            <w:tr>
              <w:trPr>
                <w:trHeight w:val="223" w:hRule="atLeast"/>
                <w:cantSplit w:val="true"/>
              </w:trPr>
              <w:tc>
                <w:tcPr>
                  <w:tcW w:w="857" w:type="dxa"/>
                  <w:tcBorders/>
                  <w:shd w:fill="auto" w:val="clear"/>
                </w:tcPr>
                <w:p>
                  <w:pPr>
                    <w:pStyle w:val="Tretekstu"/>
                    <w:spacing w:lineRule="auto" w:line="276"/>
                    <w:ind w:left="705" w:hanging="705"/>
                    <w:rPr>
                      <w:rFonts w:ascii="Times New Roman" w:hAnsi="Times New Roman" w:cs="Times New Roman"/>
                      <w:b/>
                      <w:b/>
                      <w:bCs/>
                    </w:rPr>
                  </w:pPr>
                  <w:r>
                    <w:rPr>
                      <w:rFonts w:cs="Times New Roman" w:ascii="Times New Roman" w:hAnsi="Times New Roman"/>
                      <w:b/>
                      <w:bCs/>
                    </w:rPr>
                  </w:r>
                </w:p>
              </w:tc>
              <w:tc>
                <w:tcPr>
                  <w:tcW w:w="703" w:type="dxa"/>
                  <w:vMerge w:val="restart"/>
                  <w:tcBorders/>
                  <w:shd w:fill="auto" w:val="clear"/>
                  <w:vAlign w:val="center"/>
                </w:tcPr>
                <w:p>
                  <w:pPr>
                    <w:pStyle w:val="Tretekstu"/>
                    <w:spacing w:lineRule="auto" w:line="276"/>
                    <w:ind w:left="705" w:hanging="705"/>
                    <w:jc w:val="both"/>
                    <w:rPr>
                      <w:rFonts w:ascii="Times New Roman" w:hAnsi="Times New Roman" w:cs="Times New Roman"/>
                      <w:b/>
                      <w:b/>
                      <w:bCs/>
                    </w:rPr>
                  </w:pPr>
                  <w:r>
                    <w:rPr>
                      <w:rFonts w:cs="Times New Roman" w:ascii="Times New Roman" w:hAnsi="Times New Roman"/>
                      <w:b/>
                      <w:bCs/>
                      <w:sz w:val="22"/>
                      <w:szCs w:val="22"/>
                    </w:rPr>
                    <w:t>G =</w:t>
                  </w:r>
                </w:p>
              </w:tc>
              <w:tc>
                <w:tcPr>
                  <w:tcW w:w="1527" w:type="dxa"/>
                  <w:tcBorders>
                    <w:bottom w:val="single" w:sz="4" w:space="0" w:color="00000A"/>
                    <w:insideH w:val="single" w:sz="4" w:space="0" w:color="00000A"/>
                  </w:tcBorders>
                  <w:shd w:fill="auto" w:val="clear"/>
                  <w:vAlign w:val="center"/>
                </w:tcPr>
                <w:p>
                  <w:pPr>
                    <w:pStyle w:val="Tretekstu"/>
                    <w:spacing w:lineRule="auto" w:line="276"/>
                    <w:ind w:left="705" w:hanging="705"/>
                    <w:jc w:val="center"/>
                    <w:rPr>
                      <w:rFonts w:ascii="Times New Roman" w:hAnsi="Times New Roman" w:cs="Times New Roman"/>
                      <w:b/>
                      <w:b/>
                      <w:bCs/>
                    </w:rPr>
                  </w:pPr>
                  <w:r>
                    <w:rPr>
                      <w:rFonts w:cs="Times New Roman" w:ascii="Times New Roman" w:hAnsi="Times New Roman"/>
                      <w:b/>
                      <w:bCs/>
                      <w:sz w:val="22"/>
                      <w:szCs w:val="22"/>
                    </w:rPr>
                    <w:t>G</w:t>
                  </w:r>
                  <w:r>
                    <w:rPr>
                      <w:rFonts w:cs="Times New Roman" w:ascii="Times New Roman" w:hAnsi="Times New Roman"/>
                      <w:b/>
                      <w:bCs/>
                      <w:sz w:val="22"/>
                      <w:szCs w:val="22"/>
                      <w:vertAlign w:val="subscript"/>
                    </w:rPr>
                    <w:t>b</w:t>
                  </w:r>
                  <w:r>
                    <w:rPr>
                      <w:rFonts w:cs="Times New Roman" w:ascii="Times New Roman" w:hAnsi="Times New Roman"/>
                      <w:b/>
                      <w:bCs/>
                      <w:sz w:val="22"/>
                      <w:szCs w:val="22"/>
                    </w:rPr>
                    <w:t xml:space="preserve"> </w:t>
                  </w:r>
                </w:p>
              </w:tc>
              <w:tc>
                <w:tcPr>
                  <w:tcW w:w="3032" w:type="dxa"/>
                  <w:vMerge w:val="restart"/>
                  <w:tcBorders/>
                  <w:shd w:fill="auto" w:val="clear"/>
                  <w:vAlign w:val="center"/>
                </w:tcPr>
                <w:p>
                  <w:pPr>
                    <w:pStyle w:val="Tretekstu"/>
                    <w:spacing w:lineRule="auto" w:line="276"/>
                    <w:ind w:left="705" w:hanging="705"/>
                    <w:jc w:val="both"/>
                    <w:rPr>
                      <w:rFonts w:ascii="Times New Roman" w:hAnsi="Times New Roman" w:cs="Times New Roman"/>
                      <w:b/>
                      <w:b/>
                      <w:bCs/>
                    </w:rPr>
                  </w:pPr>
                  <w:r>
                    <w:rPr>
                      <w:rFonts w:cs="Times New Roman" w:ascii="Times New Roman" w:hAnsi="Times New Roman"/>
                      <w:b/>
                      <w:bCs/>
                      <w:sz w:val="22"/>
                      <w:szCs w:val="22"/>
                    </w:rPr>
                    <w:t>x 100 x 40%</w:t>
                  </w:r>
                </w:p>
              </w:tc>
            </w:tr>
            <w:tr>
              <w:trPr>
                <w:trHeight w:val="223" w:hRule="atLeast"/>
                <w:cantSplit w:val="true"/>
              </w:trPr>
              <w:tc>
                <w:tcPr>
                  <w:tcW w:w="857" w:type="dxa"/>
                  <w:tcBorders/>
                  <w:shd w:fill="auto" w:val="clear"/>
                </w:tcPr>
                <w:p>
                  <w:pPr>
                    <w:pStyle w:val="Tretekstu"/>
                    <w:spacing w:lineRule="auto" w:line="276"/>
                    <w:ind w:left="705" w:hanging="705"/>
                    <w:rPr>
                      <w:rFonts w:ascii="Times New Roman" w:hAnsi="Times New Roman" w:cs="Times New Roman"/>
                      <w:b/>
                      <w:b/>
                      <w:bCs/>
                    </w:rPr>
                  </w:pPr>
                  <w:r>
                    <w:rPr>
                      <w:rFonts w:cs="Times New Roman" w:ascii="Times New Roman" w:hAnsi="Times New Roman"/>
                      <w:b/>
                      <w:bCs/>
                    </w:rPr>
                  </w:r>
                </w:p>
              </w:tc>
              <w:tc>
                <w:tcPr>
                  <w:tcW w:w="703" w:type="dxa"/>
                  <w:vMerge w:val="continue"/>
                  <w:tcBorders/>
                  <w:shd w:fill="auto" w:val="clear"/>
                  <w:vAlign w:val="center"/>
                </w:tcPr>
                <w:p>
                  <w:pPr>
                    <w:pStyle w:val="Tretekstu"/>
                    <w:spacing w:lineRule="auto" w:line="276"/>
                    <w:ind w:left="705" w:hanging="705"/>
                    <w:rPr>
                      <w:rFonts w:ascii="Times New Roman" w:hAnsi="Times New Roman" w:cs="Times New Roman"/>
                      <w:b/>
                      <w:b/>
                      <w:bCs/>
                    </w:rPr>
                  </w:pPr>
                  <w:r>
                    <w:rPr>
                      <w:rFonts w:cs="Times New Roman" w:ascii="Times New Roman" w:hAnsi="Times New Roman"/>
                      <w:b/>
                      <w:bCs/>
                    </w:rPr>
                  </w:r>
                </w:p>
              </w:tc>
              <w:tc>
                <w:tcPr>
                  <w:tcW w:w="1527" w:type="dxa"/>
                  <w:tcBorders>
                    <w:top w:val="single" w:sz="4" w:space="0" w:color="00000A"/>
                  </w:tcBorders>
                  <w:shd w:fill="auto" w:val="clear"/>
                  <w:vAlign w:val="center"/>
                </w:tcPr>
                <w:p>
                  <w:pPr>
                    <w:pStyle w:val="Tretekstu"/>
                    <w:spacing w:lineRule="auto" w:line="276"/>
                    <w:ind w:left="705" w:hanging="705"/>
                    <w:jc w:val="center"/>
                    <w:rPr>
                      <w:rFonts w:ascii="Times New Roman" w:hAnsi="Times New Roman" w:cs="Times New Roman"/>
                      <w:b/>
                      <w:b/>
                      <w:bCs/>
                    </w:rPr>
                  </w:pPr>
                  <w:r>
                    <w:rPr>
                      <w:rFonts w:cs="Times New Roman" w:ascii="Times New Roman" w:hAnsi="Times New Roman"/>
                      <w:b/>
                      <w:bCs/>
                      <w:sz w:val="22"/>
                      <w:szCs w:val="22"/>
                    </w:rPr>
                    <w:t>G</w:t>
                  </w:r>
                  <w:r>
                    <w:rPr>
                      <w:rFonts w:cs="Times New Roman" w:ascii="Times New Roman" w:hAnsi="Times New Roman"/>
                      <w:b/>
                      <w:bCs/>
                      <w:sz w:val="22"/>
                      <w:szCs w:val="22"/>
                      <w:vertAlign w:val="subscript"/>
                    </w:rPr>
                    <w:t>n</w:t>
                  </w:r>
                </w:p>
              </w:tc>
              <w:tc>
                <w:tcPr>
                  <w:tcW w:w="3032" w:type="dxa"/>
                  <w:vMerge w:val="continue"/>
                  <w:tcBorders/>
                  <w:shd w:fill="auto" w:val="clear"/>
                  <w:vAlign w:val="center"/>
                </w:tcPr>
                <w:p>
                  <w:pPr>
                    <w:pStyle w:val="Tretekstu"/>
                    <w:spacing w:lineRule="auto" w:line="276"/>
                    <w:ind w:left="705" w:hanging="705"/>
                    <w:rPr>
                      <w:rFonts w:ascii="Times New Roman" w:hAnsi="Times New Roman" w:cs="Times New Roman"/>
                      <w:b/>
                      <w:b/>
                      <w:bCs/>
                    </w:rPr>
                  </w:pPr>
                  <w:r>
                    <w:rPr>
                      <w:rFonts w:cs="Times New Roman" w:ascii="Times New Roman" w:hAnsi="Times New Roman"/>
                      <w:b/>
                      <w:bCs/>
                    </w:rPr>
                  </w:r>
                </w:p>
              </w:tc>
            </w:tr>
            <w:tr>
              <w:trPr>
                <w:trHeight w:val="438" w:hRule="atLeast"/>
                <w:cantSplit w:val="true"/>
              </w:trPr>
              <w:tc>
                <w:tcPr>
                  <w:tcW w:w="857" w:type="dxa"/>
                  <w:tcBorders/>
                  <w:shd w:fill="auto" w:val="clear"/>
                  <w:vAlign w:val="bottom"/>
                </w:tcPr>
                <w:p>
                  <w:pPr>
                    <w:pStyle w:val="Tretekstu"/>
                    <w:spacing w:lineRule="auto" w:line="276"/>
                    <w:ind w:left="705" w:hanging="705"/>
                    <w:jc w:val="center"/>
                    <w:rPr>
                      <w:rFonts w:ascii="Times New Roman" w:hAnsi="Times New Roman" w:cs="Times New Roman"/>
                      <w:b/>
                      <w:b/>
                      <w:bCs/>
                    </w:rPr>
                  </w:pPr>
                  <w:r>
                    <w:rPr>
                      <w:rFonts w:cs="Times New Roman" w:ascii="Times New Roman" w:hAnsi="Times New Roman"/>
                      <w:b/>
                      <w:bCs/>
                    </w:rPr>
                  </w:r>
                </w:p>
              </w:tc>
              <w:tc>
                <w:tcPr>
                  <w:tcW w:w="703" w:type="dxa"/>
                  <w:tcBorders/>
                  <w:shd w:fill="auto" w:val="clear"/>
                  <w:vAlign w:val="bottom"/>
                </w:tcPr>
                <w:p>
                  <w:pPr>
                    <w:pStyle w:val="Tretekstu"/>
                    <w:spacing w:lineRule="auto" w:line="276"/>
                    <w:ind w:left="705" w:hanging="705"/>
                    <w:rPr>
                      <w:rFonts w:ascii="Times New Roman" w:hAnsi="Times New Roman" w:cs="Times New Roman"/>
                      <w:b/>
                      <w:b/>
                      <w:bCs/>
                    </w:rPr>
                  </w:pPr>
                  <w:r>
                    <w:rPr>
                      <w:rFonts w:cs="Times New Roman" w:ascii="Times New Roman" w:hAnsi="Times New Roman"/>
                      <w:b/>
                      <w:bCs/>
                      <w:sz w:val="22"/>
                      <w:szCs w:val="22"/>
                    </w:rPr>
                    <w:t>gdzie:</w:t>
                  </w:r>
                </w:p>
              </w:tc>
              <w:tc>
                <w:tcPr>
                  <w:tcW w:w="4559" w:type="dxa"/>
                  <w:gridSpan w:val="2"/>
                  <w:tcBorders/>
                  <w:shd w:fill="auto" w:val="clear"/>
                  <w:vAlign w:val="bottom"/>
                </w:tcPr>
                <w:p>
                  <w:pPr>
                    <w:pStyle w:val="Normal"/>
                    <w:spacing w:lineRule="auto" w:line="276"/>
                    <w:rPr>
                      <w:b/>
                      <w:b/>
                      <w:bCs/>
                    </w:rPr>
                  </w:pPr>
                  <w:r>
                    <w:rPr>
                      <w:b/>
                      <w:bCs/>
                      <w:sz w:val="22"/>
                      <w:szCs w:val="22"/>
                    </w:rPr>
                    <w:t>G</w:t>
                  </w:r>
                  <w:r>
                    <w:rPr>
                      <w:b/>
                      <w:bCs/>
                      <w:sz w:val="22"/>
                      <w:szCs w:val="22"/>
                      <w:vertAlign w:val="subscript"/>
                    </w:rPr>
                    <w:t>b</w:t>
                  </w:r>
                  <w:r>
                    <w:rPr>
                      <w:b/>
                      <w:bCs/>
                      <w:sz w:val="22"/>
                      <w:szCs w:val="22"/>
                    </w:rPr>
                    <w:t xml:space="preserve">– </w:t>
                  </w:r>
                  <w:r>
                    <w:rPr>
                      <w:b/>
                      <w:sz w:val="22"/>
                      <w:szCs w:val="22"/>
                    </w:rPr>
                    <w:t>okres gwarancji  oferty badanej</w:t>
                  </w:r>
                </w:p>
              </w:tc>
            </w:tr>
            <w:tr>
              <w:trPr>
                <w:trHeight w:val="199" w:hRule="atLeast"/>
                <w:cantSplit w:val="true"/>
              </w:trPr>
              <w:tc>
                <w:tcPr>
                  <w:tcW w:w="857" w:type="dxa"/>
                  <w:tcBorders/>
                  <w:shd w:fill="auto" w:val="clear"/>
                  <w:vAlign w:val="center"/>
                </w:tcPr>
                <w:p>
                  <w:pPr>
                    <w:pStyle w:val="Tretekstu"/>
                    <w:spacing w:lineRule="auto" w:line="276"/>
                    <w:ind w:left="705" w:hanging="705"/>
                    <w:rPr>
                      <w:rFonts w:ascii="Times New Roman" w:hAnsi="Times New Roman" w:cs="Times New Roman"/>
                      <w:b/>
                      <w:b/>
                      <w:bCs/>
                    </w:rPr>
                  </w:pPr>
                  <w:r>
                    <w:rPr>
                      <w:rFonts w:cs="Times New Roman" w:ascii="Times New Roman" w:hAnsi="Times New Roman"/>
                      <w:b/>
                      <w:bCs/>
                    </w:rPr>
                  </w:r>
                </w:p>
              </w:tc>
              <w:tc>
                <w:tcPr>
                  <w:tcW w:w="703" w:type="dxa"/>
                  <w:tcBorders/>
                  <w:shd w:fill="auto" w:val="clear"/>
                  <w:vAlign w:val="bottom"/>
                </w:tcPr>
                <w:p>
                  <w:pPr>
                    <w:pStyle w:val="Tretekstu"/>
                    <w:spacing w:lineRule="auto" w:line="276"/>
                    <w:ind w:left="705" w:hanging="705"/>
                    <w:rPr>
                      <w:rFonts w:ascii="Times New Roman" w:hAnsi="Times New Roman" w:cs="Times New Roman"/>
                      <w:b/>
                      <w:b/>
                      <w:bCs/>
                    </w:rPr>
                  </w:pPr>
                  <w:r>
                    <w:rPr>
                      <w:rFonts w:cs="Times New Roman" w:ascii="Times New Roman" w:hAnsi="Times New Roman"/>
                      <w:b/>
                      <w:bCs/>
                    </w:rPr>
                  </w:r>
                </w:p>
              </w:tc>
              <w:tc>
                <w:tcPr>
                  <w:tcW w:w="4559" w:type="dxa"/>
                  <w:gridSpan w:val="2"/>
                  <w:tcBorders/>
                  <w:shd w:fill="auto" w:val="clear"/>
                  <w:vAlign w:val="bottom"/>
                </w:tcPr>
                <w:p>
                  <w:pPr>
                    <w:pStyle w:val="Normal"/>
                    <w:spacing w:lineRule="auto" w:line="276"/>
                    <w:rPr>
                      <w:b/>
                      <w:b/>
                    </w:rPr>
                  </w:pPr>
                  <w:r>
                    <w:rPr>
                      <w:b/>
                      <w:bCs/>
                      <w:sz w:val="22"/>
                      <w:szCs w:val="22"/>
                    </w:rPr>
                    <w:t>G</w:t>
                  </w:r>
                  <w:r>
                    <w:rPr>
                      <w:b/>
                      <w:bCs/>
                      <w:sz w:val="22"/>
                      <w:szCs w:val="22"/>
                      <w:vertAlign w:val="subscript"/>
                    </w:rPr>
                    <w:t>n</w:t>
                  </w:r>
                  <w:r>
                    <w:rPr>
                      <w:b/>
                      <w:bCs/>
                      <w:sz w:val="22"/>
                      <w:szCs w:val="22"/>
                    </w:rPr>
                    <w:t xml:space="preserve">– </w:t>
                  </w:r>
                  <w:r>
                    <w:rPr>
                      <w:b/>
                      <w:sz w:val="22"/>
                      <w:szCs w:val="22"/>
                    </w:rPr>
                    <w:t xml:space="preserve">najdłuższy zaoferowany okres </w:t>
                  </w:r>
                  <w:r>
                    <w:rPr>
                      <w:b/>
                      <w:bCs/>
                      <w:sz w:val="22"/>
                      <w:szCs w:val="22"/>
                    </w:rPr>
                    <w:t>gwarancji</w:t>
                  </w:r>
                  <w:r>
                    <w:rPr>
                      <w:b/>
                      <w:sz w:val="22"/>
                      <w:szCs w:val="22"/>
                    </w:rPr>
                    <w:t>, jednak nie więcej niż 60 miesięcy</w:t>
                  </w:r>
                </w:p>
                <w:p>
                  <w:pPr>
                    <w:pStyle w:val="Tretekstu"/>
                    <w:spacing w:lineRule="auto" w:line="276"/>
                    <w:ind w:left="705" w:hanging="705"/>
                    <w:rPr>
                      <w:rFonts w:ascii="Times New Roman" w:hAnsi="Times New Roman" w:cs="Times New Roman"/>
                      <w:b/>
                      <w:b/>
                      <w:bCs/>
                    </w:rPr>
                  </w:pPr>
                  <w:r>
                    <w:rPr>
                      <w:rFonts w:cs="Times New Roman" w:ascii="Times New Roman" w:hAnsi="Times New Roman"/>
                      <w:b/>
                      <w:bCs/>
                    </w:rPr>
                  </w:r>
                </w:p>
              </w:tc>
            </w:tr>
          </w:tbl>
          <w:p>
            <w:pPr>
              <w:pStyle w:val="Normal"/>
              <w:tabs>
                <w:tab w:val="left" w:pos="720" w:leader="none"/>
              </w:tabs>
              <w:spacing w:lineRule="auto" w:line="276"/>
              <w:ind w:left="-23" w:hanging="0"/>
              <w:jc w:val="both"/>
              <w:rPr>
                <w:b/>
                <w:b/>
                <w:bCs/>
              </w:rPr>
            </w:pPr>
            <w:r>
              <w:rPr>
                <w:b/>
                <w:bCs/>
              </w:rPr>
            </w:r>
          </w:p>
        </w:tc>
      </w:tr>
    </w:tbl>
    <w:p>
      <w:pPr>
        <w:pStyle w:val="Normal"/>
        <w:tabs>
          <w:tab w:val="left" w:pos="720" w:leader="none"/>
        </w:tabs>
        <w:spacing w:lineRule="auto" w:line="276"/>
        <w:ind w:left="720" w:hanging="0"/>
        <w:jc w:val="both"/>
        <w:rPr>
          <w:sz w:val="22"/>
          <w:szCs w:val="22"/>
        </w:rPr>
      </w:pPr>
      <w:r>
        <w:rPr>
          <w:sz w:val="22"/>
          <w:szCs w:val="22"/>
        </w:rPr>
      </w:r>
      <w:r>
        <mc:AlternateContent>
          <mc:Choice Requires="wps">
            <w:drawing>
              <wp:anchor behindDoc="0" distT="0" distB="0" distL="114300" distR="114300" simplePos="0" locked="0" layoutInCell="1" allowOverlap="1" relativeHeight="2">
                <wp:simplePos x="0" y="0"/>
                <wp:positionH relativeFrom="column">
                  <wp:posOffset>6900545</wp:posOffset>
                </wp:positionH>
                <wp:positionV relativeFrom="paragraph">
                  <wp:posOffset>86995</wp:posOffset>
                </wp:positionV>
                <wp:extent cx="1960880" cy="238760"/>
                <wp:effectExtent l="0" t="0" r="0" b="0"/>
                <wp:wrapNone/>
                <wp:docPr id="4" name=""/>
                <a:graphic xmlns:a="http://schemas.openxmlformats.org/drawingml/2006/main">
                  <a:graphicData uri="http://schemas.microsoft.com/office/word/2010/wordprocessingShape">
                    <wps:wsp>
                      <wps:cNvSpPr txBox="1"/>
                      <wps:spPr>
                        <a:xfrm>
                          <a:off x="0" y="0"/>
                          <a:ext cx="1960880" cy="238760"/>
                        </a:xfrm>
                        <a:prstGeom prst="rect"/>
                        <a:solidFill>
                          <a:srgbClr val="FFFFFF"/>
                        </a:solidFill>
                      </wps:spPr>
                      <wps:txbx>
                        <w:txbxContent>
                          <w:p>
                            <w:pPr>
                              <w:pStyle w:val="Zawartoramki"/>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4.4pt;height:18.8pt;mso-wrap-distance-left:9pt;mso-wrap-distance-right:9pt;mso-wrap-distance-top:0pt;mso-wrap-distance-bottom:0pt;margin-top:6.85pt;mso-position-vertical-relative:text;margin-left:543.35pt;mso-position-horizontal-relative:text">
                <v:textbox>
                  <w:txbxContent>
                    <w:p>
                      <w:pPr>
                        <w:pStyle w:val="Zawartoramki"/>
                        <w:rPr/>
                      </w:pPr>
                      <w:r>
                        <w:rPr/>
                      </w:r>
                    </w:p>
                  </w:txbxContent>
                </v:textbox>
              </v:rect>
            </w:pict>
          </mc:Fallback>
        </mc:AlternateContent>
      </w:r>
    </w:p>
    <w:p>
      <w:pPr>
        <w:pStyle w:val="Wcicietrecitekstu"/>
        <w:spacing w:lineRule="auto" w:line="276"/>
        <w:ind w:left="720" w:hanging="0"/>
        <w:jc w:val="both"/>
        <w:rPr>
          <w:sz w:val="22"/>
          <w:szCs w:val="22"/>
        </w:rPr>
      </w:pPr>
      <w:r>
        <w:rPr>
          <w:sz w:val="22"/>
          <w:szCs w:val="22"/>
        </w:rPr>
        <w:t>Punkty zostaną obliczone z dokładnością do dwóch miejsc po przecinku.</w:t>
      </w:r>
    </w:p>
    <w:p>
      <w:pPr>
        <w:pStyle w:val="Normal"/>
        <w:suppressAutoHyphens w:val="true"/>
        <w:spacing w:lineRule="auto" w:line="276" w:before="120" w:after="0"/>
        <w:ind w:left="709" w:hanging="709"/>
        <w:jc w:val="both"/>
        <w:rPr>
          <w:rFonts w:eastAsia="Calibri"/>
          <w:sz w:val="22"/>
          <w:szCs w:val="22"/>
          <w:lang w:eastAsia="en-US"/>
        </w:rPr>
      </w:pPr>
      <w:r>
        <w:rPr>
          <w:spacing w:val="4"/>
          <w:sz w:val="22"/>
          <w:szCs w:val="22"/>
          <w:lang w:eastAsia="ar-SA"/>
        </w:rPr>
        <w:t>19.2.</w:t>
        <w:tab/>
      </w:r>
      <w:r>
        <w:rPr>
          <w:rFonts w:eastAsia="Calibri"/>
          <w:sz w:val="22"/>
          <w:szCs w:val="22"/>
          <w:lang w:eastAsia="en-US"/>
        </w:rPr>
        <w:t>Za najkorzystniejszą zostanie uznana oferta Wykonawcy, który spełni wszystkie warunki postawione w niniejszej SIWZ oraz uzyska łącznie największą liczbę punktów (P) stanowiącą sumę punktów przyznanych w ramach każdego z podanych kryteriów, wyliczoną zgodnie z poniższym wzorem:</w:t>
      </w:r>
    </w:p>
    <w:p>
      <w:pPr>
        <w:pStyle w:val="Normal"/>
        <w:spacing w:lineRule="auto" w:line="276" w:before="120" w:after="0"/>
        <w:ind w:left="-142" w:hanging="426"/>
        <w:jc w:val="center"/>
        <w:rPr>
          <w:rFonts w:eastAsia="Calibri"/>
          <w:b/>
          <w:b/>
          <w:sz w:val="22"/>
          <w:szCs w:val="22"/>
          <w:lang w:eastAsia="en-US"/>
        </w:rPr>
      </w:pPr>
      <w:r>
        <w:rPr>
          <w:rFonts w:eastAsia="Calibri"/>
          <w:b/>
          <w:sz w:val="22"/>
          <w:szCs w:val="22"/>
          <w:lang w:eastAsia="en-US"/>
        </w:rPr>
        <w:t>P = C + G</w:t>
      </w:r>
    </w:p>
    <w:p>
      <w:pPr>
        <w:pStyle w:val="Normal"/>
        <w:spacing w:lineRule="auto" w:line="276"/>
        <w:ind w:left="567" w:firstLine="142"/>
        <w:jc w:val="both"/>
        <w:rPr>
          <w:rFonts w:eastAsia="Calibri"/>
          <w:sz w:val="22"/>
          <w:szCs w:val="22"/>
          <w:lang w:eastAsia="en-US"/>
        </w:rPr>
      </w:pPr>
      <w:r>
        <w:rPr>
          <w:rFonts w:eastAsia="Calibri"/>
          <w:sz w:val="22"/>
          <w:szCs w:val="22"/>
          <w:lang w:eastAsia="en-US"/>
        </w:rPr>
        <w:t xml:space="preserve">gdzie: </w:t>
        <w:tab/>
        <w:t xml:space="preserve"> C - liczba punktów przyznana ofercie ocenianej w  kryterium „Cena”</w:t>
      </w:r>
    </w:p>
    <w:p>
      <w:pPr>
        <w:pStyle w:val="Normal"/>
        <w:spacing w:lineRule="auto" w:line="276"/>
        <w:ind w:left="1843" w:hanging="566"/>
        <w:jc w:val="both"/>
        <w:rPr>
          <w:rFonts w:eastAsia="Calibri"/>
          <w:sz w:val="22"/>
          <w:szCs w:val="22"/>
          <w:lang w:eastAsia="en-US"/>
        </w:rPr>
      </w:pPr>
      <w:r>
        <w:rPr>
          <w:rFonts w:eastAsia="Calibri"/>
          <w:sz w:val="22"/>
          <w:szCs w:val="22"/>
          <w:lang w:eastAsia="en-US"/>
        </w:rPr>
        <w:t xml:space="preserve">   </w:t>
      </w:r>
      <w:r>
        <w:rPr>
          <w:rFonts w:eastAsia="Calibri"/>
          <w:sz w:val="22"/>
          <w:szCs w:val="22"/>
          <w:lang w:eastAsia="en-US"/>
        </w:rPr>
        <w:t>G - liczba punktów przyznana ofercie ocenianej w kryterium „Okres gwarancji”</w:t>
      </w:r>
    </w:p>
    <w:p>
      <w:pPr>
        <w:pStyle w:val="Normal"/>
        <w:suppressAutoHyphens w:val="true"/>
        <w:spacing w:lineRule="auto" w:line="276" w:before="120" w:after="0"/>
        <w:ind w:left="709" w:hanging="709"/>
        <w:jc w:val="both"/>
        <w:rPr>
          <w:sz w:val="22"/>
          <w:szCs w:val="22"/>
        </w:rPr>
      </w:pPr>
      <w:r>
        <w:rPr>
          <w:spacing w:val="4"/>
          <w:sz w:val="22"/>
          <w:szCs w:val="22"/>
          <w:lang w:eastAsia="ar-SA"/>
        </w:rPr>
        <w:t>19.3.</w:t>
        <w:tab/>
      </w:r>
      <w:r>
        <w:rPr>
          <w:sz w:val="22"/>
          <w:szCs w:val="22"/>
        </w:rPr>
        <w:t xml:space="preserve">Zamawiający </w:t>
      </w:r>
      <w:r>
        <w:rPr>
          <w:b/>
          <w:sz w:val="22"/>
          <w:szCs w:val="22"/>
        </w:rPr>
        <w:t>nie przewiduje</w:t>
      </w:r>
      <w:r>
        <w:rPr>
          <w:sz w:val="22"/>
          <w:szCs w:val="22"/>
        </w:rPr>
        <w:t xml:space="preserve"> aukcji elektronicznej.</w:t>
      </w:r>
    </w:p>
    <w:p>
      <w:pPr>
        <w:pStyle w:val="Normal"/>
        <w:suppressAutoHyphens w:val="true"/>
        <w:spacing w:lineRule="auto" w:line="276" w:before="120" w:after="0"/>
        <w:ind w:left="709" w:hanging="709"/>
        <w:jc w:val="both"/>
        <w:rPr>
          <w:sz w:val="22"/>
          <w:szCs w:val="22"/>
        </w:rPr>
      </w:pPr>
      <w:r>
        <w:rPr>
          <w:spacing w:val="4"/>
          <w:sz w:val="22"/>
          <w:szCs w:val="22"/>
          <w:lang w:eastAsia="ar-SA"/>
        </w:rPr>
        <w:t>19.4.</w:t>
        <w:tab/>
      </w:r>
      <w:r>
        <w:rPr>
          <w:sz w:val="22"/>
          <w:szCs w:val="22"/>
        </w:rPr>
        <w:t>Zamawiający poinformuje niezwłocznie wszystkich Wykonawców o:</w:t>
      </w:r>
    </w:p>
    <w:p>
      <w:pPr>
        <w:pStyle w:val="BodyText2"/>
        <w:tabs>
          <w:tab w:val="left" w:pos="851" w:leader="none"/>
        </w:tabs>
        <w:spacing w:lineRule="auto" w:line="276"/>
        <w:ind w:left="851" w:hanging="425"/>
        <w:rPr>
          <w:b w:val="false"/>
          <w:b w:val="false"/>
          <w:sz w:val="22"/>
          <w:szCs w:val="22"/>
          <w:lang w:eastAsia="ar-SA"/>
        </w:rPr>
      </w:pPr>
      <w:r>
        <w:rPr>
          <w:b w:val="false"/>
          <w:bCs w:val="false"/>
          <w:sz w:val="22"/>
          <w:szCs w:val="22"/>
        </w:rPr>
        <w:t xml:space="preserve">1) </w:t>
        <w:tab/>
      </w:r>
      <w:r>
        <w:rPr>
          <w:b w:val="false"/>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pPr>
        <w:pStyle w:val="BodyText2"/>
        <w:tabs>
          <w:tab w:val="left" w:pos="851" w:leader="none"/>
        </w:tabs>
        <w:spacing w:lineRule="auto" w:line="276" w:before="0" w:after="0"/>
        <w:ind w:left="851" w:hanging="425"/>
        <w:rPr>
          <w:b w:val="false"/>
          <w:b w:val="false"/>
          <w:bCs w:val="false"/>
          <w:sz w:val="22"/>
          <w:szCs w:val="22"/>
        </w:rPr>
      </w:pPr>
      <w:r>
        <w:rPr>
          <w:b w:val="false"/>
          <w:bCs w:val="false"/>
          <w:sz w:val="22"/>
          <w:szCs w:val="22"/>
        </w:rPr>
        <w:t xml:space="preserve">2) </w:t>
        <w:tab/>
      </w:r>
      <w:r>
        <w:rPr>
          <w:b w:val="false"/>
          <w:sz w:val="22"/>
          <w:szCs w:val="22"/>
        </w:rPr>
        <w:t>Wykonawcach, którzy zostali wykluczeni;</w:t>
      </w:r>
    </w:p>
    <w:p>
      <w:pPr>
        <w:pStyle w:val="BodyText2"/>
        <w:tabs>
          <w:tab w:val="left" w:pos="426" w:leader="none"/>
        </w:tabs>
        <w:spacing w:lineRule="auto" w:line="276" w:before="0" w:after="0"/>
        <w:ind w:left="426" w:hanging="0"/>
        <w:rPr>
          <w:b w:val="false"/>
          <w:b w:val="false"/>
          <w:sz w:val="22"/>
          <w:szCs w:val="22"/>
        </w:rPr>
      </w:pPr>
      <w:r>
        <w:rPr>
          <w:b w:val="false"/>
          <w:bCs w:val="false"/>
          <w:sz w:val="22"/>
          <w:szCs w:val="22"/>
        </w:rPr>
        <w:t xml:space="preserve">3) </w:t>
        <w:tab/>
        <w:t xml:space="preserve"> </w:t>
      </w:r>
      <w:r>
        <w:rPr>
          <w:b w:val="false"/>
          <w:sz w:val="22"/>
          <w:szCs w:val="22"/>
        </w:rPr>
        <w:t xml:space="preserve">Wykonawcach, których oferty zostały odrzucone, powodach odrzucenia oferty;       </w:t>
      </w:r>
    </w:p>
    <w:p>
      <w:pPr>
        <w:pStyle w:val="BodyText2"/>
        <w:tabs>
          <w:tab w:val="left" w:pos="426" w:leader="none"/>
        </w:tabs>
        <w:spacing w:lineRule="auto" w:line="276" w:before="0" w:after="0"/>
        <w:ind w:left="426" w:hanging="0"/>
        <w:rPr>
          <w:b w:val="false"/>
          <w:b w:val="false"/>
          <w:sz w:val="22"/>
          <w:szCs w:val="22"/>
        </w:rPr>
      </w:pPr>
      <w:r>
        <w:rPr>
          <w:b w:val="false"/>
          <w:sz w:val="22"/>
          <w:szCs w:val="22"/>
        </w:rPr>
        <w:t>4)  unieważnieniu postępowania;</w:t>
      </w:r>
    </w:p>
    <w:p>
      <w:pPr>
        <w:pStyle w:val="BodyText2"/>
        <w:tabs>
          <w:tab w:val="left" w:pos="851" w:leader="none"/>
        </w:tabs>
        <w:spacing w:lineRule="auto" w:line="276" w:before="0" w:after="0"/>
        <w:ind w:left="851" w:hanging="425"/>
        <w:rPr>
          <w:b w:val="false"/>
          <w:b w:val="false"/>
          <w:sz w:val="22"/>
          <w:szCs w:val="22"/>
        </w:rPr>
      </w:pPr>
      <w:r>
        <w:rPr>
          <w:b w:val="false"/>
          <w:sz w:val="22"/>
          <w:szCs w:val="22"/>
        </w:rPr>
        <w:t xml:space="preserve">– </w:t>
      </w:r>
      <w:r>
        <w:rPr>
          <w:b w:val="false"/>
          <w:sz w:val="22"/>
          <w:szCs w:val="22"/>
        </w:rPr>
        <w:t>podając uzasadnienie faktyczne i prawne.</w:t>
      </w:r>
    </w:p>
    <w:p>
      <w:pPr>
        <w:pStyle w:val="Normal"/>
        <w:suppressAutoHyphens w:val="true"/>
        <w:spacing w:lineRule="auto" w:line="276" w:before="120" w:after="0"/>
        <w:ind w:left="709" w:hanging="709"/>
        <w:jc w:val="both"/>
        <w:rPr>
          <w:spacing w:val="4"/>
          <w:sz w:val="22"/>
          <w:szCs w:val="22"/>
          <w:lang w:eastAsia="ar-SA"/>
        </w:rPr>
      </w:pPr>
      <w:r>
        <w:rPr>
          <w:spacing w:val="4"/>
          <w:sz w:val="22"/>
          <w:szCs w:val="22"/>
          <w:lang w:eastAsia="ar-SA"/>
        </w:rPr>
        <w:t>19.5.</w:t>
        <w:tab/>
        <w:t>W przypadkach, o których mowa w art. 24 ust. 8 ustawy Pzp, informacja, o której mowa w pkt. 19.4.2 IDW, zawiera wyjaśnienie powodów, dla których dowody przedstawione przez Wykonawcę, Zamawiający uznał za niewystarczające.</w:t>
      </w:r>
    </w:p>
    <w:p>
      <w:pPr>
        <w:pStyle w:val="Normal"/>
        <w:suppressAutoHyphens w:val="true"/>
        <w:spacing w:lineRule="auto" w:line="276" w:before="120" w:after="0"/>
        <w:ind w:left="709" w:hanging="709"/>
        <w:jc w:val="both"/>
        <w:rPr>
          <w:sz w:val="22"/>
          <w:szCs w:val="22"/>
        </w:rPr>
      </w:pPr>
      <w:r>
        <w:rPr>
          <w:sz w:val="22"/>
          <w:szCs w:val="22"/>
        </w:rPr>
        <w:t xml:space="preserve">19.6. </w:t>
        <w:tab/>
        <w:t>Zamawiający udostępni informacje, o których mowa w pkt 19.4.1 i 19.4.4 IDW, na stronie internetowej.</w:t>
      </w:r>
    </w:p>
    <w:p>
      <w:pPr>
        <w:pStyle w:val="Normal"/>
        <w:suppressAutoHyphens w:val="true"/>
        <w:spacing w:lineRule="auto" w:line="276" w:before="120" w:after="0"/>
        <w:ind w:left="709" w:right="-567" w:hanging="709"/>
        <w:rPr>
          <w:b/>
          <w:b/>
          <w:sz w:val="22"/>
          <w:szCs w:val="22"/>
          <w:lang w:eastAsia="ar-SA"/>
        </w:rPr>
      </w:pPr>
      <w:r>
        <w:rPr>
          <w:bCs/>
          <w:sz w:val="22"/>
          <w:szCs w:val="22"/>
        </w:rPr>
        <w:t>20</w:t>
      </w:r>
      <w:r>
        <w:rPr>
          <w:b/>
          <w:sz w:val="22"/>
          <w:szCs w:val="22"/>
          <w:lang w:eastAsia="ar-SA"/>
        </w:rPr>
        <w:t>.</w:t>
        <w:tab/>
      </w:r>
      <w:r>
        <w:rPr>
          <w:b/>
          <w:bCs/>
          <w:spacing w:val="2"/>
          <w:position w:val="2"/>
          <w:sz w:val="22"/>
          <w:szCs w:val="22"/>
        </w:rPr>
        <w:t>INFORMACJE O FORMALNOŚCIACH, JAKICH NALEŻY DOPEŁNIĆ PO WYBORZE OFERTY W CELU ZAWARCIA UMOWY</w:t>
      </w:r>
    </w:p>
    <w:p>
      <w:pPr>
        <w:pStyle w:val="Normal"/>
        <w:tabs>
          <w:tab w:val="left" w:pos="567" w:leader="none"/>
        </w:tabs>
        <w:suppressAutoHyphens w:val="true"/>
        <w:spacing w:lineRule="auto" w:line="276" w:before="120" w:after="0"/>
        <w:ind w:left="567" w:hanging="567"/>
        <w:jc w:val="both"/>
        <w:rPr>
          <w:sz w:val="22"/>
          <w:szCs w:val="22"/>
        </w:rPr>
      </w:pPr>
      <w:r>
        <w:rPr>
          <w:spacing w:val="4"/>
          <w:sz w:val="22"/>
          <w:szCs w:val="22"/>
          <w:lang w:eastAsia="ar-SA"/>
        </w:rPr>
        <w:t xml:space="preserve">20.1 </w:t>
      </w:r>
      <w:r>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pPr>
        <w:pStyle w:val="NormalWeb"/>
        <w:tabs>
          <w:tab w:val="left" w:pos="1830" w:leader="none"/>
          <w:tab w:val="left" w:pos="2130" w:leader="none"/>
        </w:tabs>
        <w:spacing w:lineRule="auto" w:line="276" w:beforeAutospacing="0" w:before="0" w:afterAutospacing="0" w:after="0"/>
        <w:ind w:left="567" w:hanging="567"/>
        <w:rPr>
          <w:rFonts w:eastAsia="Arial Unicode MS"/>
          <w:sz w:val="22"/>
          <w:szCs w:val="22"/>
        </w:rPr>
      </w:pPr>
      <w:r>
        <w:rPr>
          <w:sz w:val="22"/>
          <w:szCs w:val="22"/>
        </w:rPr>
        <w:t>20.2</w:t>
      </w:r>
      <w:r>
        <w:rPr>
          <w:rFonts w:eastAsia="Arial Unicode MS"/>
          <w:sz w:val="22"/>
          <w:szCs w:val="22"/>
        </w:rPr>
        <w:t xml:space="preserve"> Zamawiający wymaga by Wykonawca, na etapie podpisania  umowy, posiadał  polisę  ubezpieczenia od odpowiedzialności cywilnej w zakresie prowadzonej działalności związanej z przedmiotem zamówienia.</w:t>
      </w:r>
    </w:p>
    <w:p>
      <w:pPr>
        <w:pStyle w:val="Normal"/>
        <w:suppressAutoHyphens w:val="true"/>
        <w:spacing w:lineRule="auto" w:line="276" w:before="120" w:after="0"/>
        <w:ind w:left="709" w:right="-567" w:hanging="709"/>
        <w:rPr>
          <w:rStyle w:val="Tekstdokbold"/>
          <w:sz w:val="22"/>
          <w:szCs w:val="22"/>
        </w:rPr>
      </w:pPr>
      <w:r>
        <w:rPr>
          <w:b/>
          <w:sz w:val="22"/>
          <w:szCs w:val="22"/>
          <w:lang w:eastAsia="ar-SA"/>
        </w:rPr>
        <w:t>21.</w:t>
        <w:tab/>
      </w:r>
      <w:r>
        <w:rPr>
          <w:rStyle w:val="Tekstdokbold"/>
          <w:sz w:val="22"/>
          <w:szCs w:val="22"/>
        </w:rPr>
        <w:t xml:space="preserve">ZABEZPIECZENIE NALEŻYTEGO WYKONANIA UMOWY </w:t>
      </w:r>
    </w:p>
    <w:p>
      <w:pPr>
        <w:pStyle w:val="Tretekstu"/>
        <w:numPr>
          <w:ilvl w:val="1"/>
          <w:numId w:val="12"/>
        </w:numPr>
        <w:spacing w:lineRule="auto" w:line="276"/>
        <w:jc w:val="both"/>
        <w:rPr>
          <w:rFonts w:ascii="Times New Roman" w:hAnsi="Times New Roman" w:cs="Times New Roman"/>
          <w:sz w:val="22"/>
          <w:szCs w:val="22"/>
        </w:rPr>
      </w:pPr>
      <w:r>
        <w:rPr>
          <w:rFonts w:cs="Times New Roman" w:ascii="Times New Roman" w:hAnsi="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pPr>
        <w:pStyle w:val="Wcicietrecitekstu"/>
        <w:numPr>
          <w:ilvl w:val="1"/>
          <w:numId w:val="12"/>
        </w:numPr>
        <w:spacing w:lineRule="auto" w:line="276"/>
        <w:jc w:val="both"/>
        <w:rPr>
          <w:sz w:val="22"/>
          <w:szCs w:val="22"/>
        </w:rPr>
      </w:pPr>
      <w:r>
        <w:rPr>
          <w:sz w:val="22"/>
          <w:szCs w:val="22"/>
        </w:rPr>
        <w:t xml:space="preserve">Zabezpieczenie należytego wykonania umowy będzie służyło pokryciu roszczeń z tytułu niewykonania lub nienależytego wykonania umowy. </w:t>
      </w:r>
    </w:p>
    <w:p>
      <w:pPr>
        <w:pStyle w:val="Wcicietrecitekstu"/>
        <w:numPr>
          <w:ilvl w:val="1"/>
          <w:numId w:val="12"/>
        </w:numPr>
        <w:spacing w:lineRule="auto" w:line="276"/>
        <w:jc w:val="both"/>
        <w:rPr>
          <w:sz w:val="22"/>
          <w:szCs w:val="22"/>
        </w:rPr>
      </w:pPr>
      <w:r>
        <w:rPr>
          <w:sz w:val="22"/>
          <w:szCs w:val="22"/>
        </w:rPr>
        <w:t xml:space="preserve">Zabezpieczenie może być wnoszone, według wyboru Wykonawcy, w jednej lub w kilku następujących formach: </w:t>
      </w:r>
    </w:p>
    <w:p>
      <w:pPr>
        <w:pStyle w:val="CM17"/>
        <w:numPr>
          <w:ilvl w:val="0"/>
          <w:numId w:val="10"/>
        </w:numPr>
        <w:tabs>
          <w:tab w:val="left" w:pos="1276" w:leader="none"/>
        </w:tabs>
        <w:spacing w:lineRule="auto" w:line="276"/>
        <w:ind w:left="1276" w:hanging="360"/>
        <w:jc w:val="both"/>
        <w:rPr>
          <w:sz w:val="22"/>
          <w:szCs w:val="22"/>
        </w:rPr>
      </w:pPr>
      <w:r>
        <w:rPr>
          <w:sz w:val="22"/>
          <w:szCs w:val="22"/>
        </w:rPr>
        <w:t>pieniądzu;</w:t>
      </w:r>
    </w:p>
    <w:p>
      <w:pPr>
        <w:pStyle w:val="CM17"/>
        <w:numPr>
          <w:ilvl w:val="0"/>
          <w:numId w:val="10"/>
        </w:numPr>
        <w:tabs>
          <w:tab w:val="left" w:pos="1276" w:leader="none"/>
        </w:tabs>
        <w:spacing w:lineRule="auto" w:line="276"/>
        <w:ind w:left="1276" w:hanging="360"/>
        <w:jc w:val="both"/>
        <w:rPr>
          <w:sz w:val="22"/>
          <w:szCs w:val="22"/>
        </w:rPr>
      </w:pPr>
      <w:r>
        <w:rPr>
          <w:sz w:val="22"/>
          <w:szCs w:val="22"/>
        </w:rPr>
        <w:t>poręczeniach bankowych lub poręczeniach spółdzielczej kasy oszczędnościowo – kredytowej, z tym, że zobowiązanie kasy jest zawsze zobowiązaniem pieniężnym;</w:t>
      </w:r>
    </w:p>
    <w:p>
      <w:pPr>
        <w:pStyle w:val="CM17"/>
        <w:numPr>
          <w:ilvl w:val="0"/>
          <w:numId w:val="10"/>
        </w:numPr>
        <w:tabs>
          <w:tab w:val="left" w:pos="1276" w:leader="none"/>
        </w:tabs>
        <w:spacing w:lineRule="auto" w:line="276"/>
        <w:ind w:left="1276" w:hanging="360"/>
        <w:jc w:val="both"/>
        <w:rPr>
          <w:sz w:val="22"/>
          <w:szCs w:val="22"/>
        </w:rPr>
      </w:pPr>
      <w:r>
        <w:rPr>
          <w:sz w:val="22"/>
          <w:szCs w:val="22"/>
        </w:rPr>
        <w:t>gwarancjach bankowych;</w:t>
      </w:r>
    </w:p>
    <w:p>
      <w:pPr>
        <w:pStyle w:val="CM17"/>
        <w:numPr>
          <w:ilvl w:val="0"/>
          <w:numId w:val="10"/>
        </w:numPr>
        <w:tabs>
          <w:tab w:val="left" w:pos="1276" w:leader="none"/>
        </w:tabs>
        <w:spacing w:lineRule="auto" w:line="276"/>
        <w:ind w:left="1276" w:hanging="360"/>
        <w:jc w:val="both"/>
        <w:rPr>
          <w:sz w:val="22"/>
          <w:szCs w:val="22"/>
        </w:rPr>
      </w:pPr>
      <w:r>
        <w:rPr>
          <w:sz w:val="22"/>
          <w:szCs w:val="22"/>
        </w:rPr>
        <w:t>gwarancjach ubezpieczeniowych;</w:t>
      </w:r>
    </w:p>
    <w:p>
      <w:pPr>
        <w:pStyle w:val="CM17"/>
        <w:numPr>
          <w:ilvl w:val="0"/>
          <w:numId w:val="10"/>
        </w:numPr>
        <w:tabs>
          <w:tab w:val="left" w:pos="1276" w:leader="none"/>
        </w:tabs>
        <w:spacing w:lineRule="auto" w:line="276"/>
        <w:ind w:left="1276" w:hanging="360"/>
        <w:jc w:val="both"/>
        <w:rPr>
          <w:sz w:val="22"/>
          <w:szCs w:val="22"/>
        </w:rPr>
      </w:pPr>
      <w:r>
        <w:rPr>
          <w:sz w:val="22"/>
          <w:szCs w:val="22"/>
        </w:rPr>
        <w:t xml:space="preserve">poręczeniach udzielanych przez podmioty, o których mowa w art. 6b ust. 5 pkt 2 ustawy z dnia 9 listopada 2000 r. o utworzeniu Polskiej Agencji Rozwoju Przedsiębiorczości (Dz. U. Nr 109, </w:t>
      </w:r>
      <w:r>
        <w:rPr>
          <w:bCs/>
          <w:sz w:val="22"/>
          <w:szCs w:val="22"/>
        </w:rPr>
        <w:t>poz. 1158 z późn. zm.).</w:t>
      </w:r>
    </w:p>
    <w:p>
      <w:pPr>
        <w:pStyle w:val="CM17"/>
        <w:spacing w:lineRule="auto" w:line="276"/>
        <w:ind w:left="709" w:hanging="0"/>
        <w:jc w:val="both"/>
        <w:rPr>
          <w:sz w:val="22"/>
          <w:szCs w:val="22"/>
        </w:rPr>
      </w:pPr>
      <w:r>
        <w:rPr>
          <w:b/>
          <w:bCs/>
          <w:sz w:val="22"/>
          <w:szCs w:val="22"/>
        </w:rPr>
        <w:t>UWAGA</w:t>
      </w:r>
      <w:r>
        <w:rPr>
          <w:bCs/>
          <w:sz w:val="22"/>
          <w:szCs w:val="22"/>
        </w:rPr>
        <w:t xml:space="preserve">: </w:t>
      </w:r>
      <w:r>
        <w:rPr>
          <w:sz w:val="22"/>
          <w:szCs w:val="22"/>
        </w:rPr>
        <w:t xml:space="preserve">Zabezpieczenie należytego wykonania umowy złożone w formie poręczenia lub gwarancji powinno zawierać następujące elementy: </w:t>
      </w:r>
    </w:p>
    <w:p>
      <w:pPr>
        <w:pStyle w:val="CM17"/>
        <w:numPr>
          <w:ilvl w:val="0"/>
          <w:numId w:val="9"/>
        </w:numPr>
        <w:spacing w:lineRule="auto" w:line="276"/>
        <w:ind w:left="1276" w:hanging="360"/>
        <w:jc w:val="both"/>
        <w:rPr>
          <w:bCs/>
          <w:sz w:val="22"/>
          <w:szCs w:val="22"/>
        </w:rPr>
      </w:pPr>
      <w:r>
        <w:rPr>
          <w:sz w:val="22"/>
          <w:szCs w:val="22"/>
        </w:rPr>
        <w:t>nazwę Wykonawcy, beneficjenta (Zamawiającego), gwaranta oraz wskazanie ich siedzib;</w:t>
      </w:r>
    </w:p>
    <w:p>
      <w:pPr>
        <w:pStyle w:val="CM19"/>
        <w:numPr>
          <w:ilvl w:val="0"/>
          <w:numId w:val="9"/>
        </w:numPr>
        <w:spacing w:lineRule="auto" w:line="276"/>
        <w:ind w:left="1276" w:hanging="360"/>
        <w:jc w:val="both"/>
        <w:rPr>
          <w:sz w:val="22"/>
          <w:szCs w:val="22"/>
        </w:rPr>
      </w:pPr>
      <w:r>
        <w:rPr>
          <w:sz w:val="22"/>
          <w:szCs w:val="22"/>
        </w:rPr>
        <w:t>określenie wierzytelności, która ma być zabezpieczona gwarancją;</w:t>
      </w:r>
    </w:p>
    <w:p>
      <w:pPr>
        <w:pStyle w:val="CM19"/>
        <w:numPr>
          <w:ilvl w:val="0"/>
          <w:numId w:val="9"/>
        </w:numPr>
        <w:spacing w:lineRule="auto" w:line="276"/>
        <w:ind w:left="1276" w:hanging="360"/>
        <w:jc w:val="both"/>
        <w:rPr>
          <w:sz w:val="22"/>
          <w:szCs w:val="22"/>
        </w:rPr>
      </w:pPr>
      <w:r>
        <w:rPr>
          <w:sz w:val="22"/>
          <w:szCs w:val="22"/>
        </w:rPr>
        <w:t>kwotę gwarancji;</w:t>
      </w:r>
    </w:p>
    <w:p>
      <w:pPr>
        <w:pStyle w:val="CM19"/>
        <w:numPr>
          <w:ilvl w:val="0"/>
          <w:numId w:val="9"/>
        </w:numPr>
        <w:spacing w:lineRule="auto" w:line="276"/>
        <w:ind w:left="1276" w:hanging="360"/>
        <w:jc w:val="both"/>
        <w:rPr>
          <w:sz w:val="22"/>
          <w:szCs w:val="22"/>
        </w:rPr>
      </w:pPr>
      <w:r>
        <w:rPr>
          <w:sz w:val="22"/>
          <w:szCs w:val="22"/>
        </w:rPr>
        <w:t>termin ważności gwarancji:</w:t>
      </w:r>
    </w:p>
    <w:p>
      <w:pPr>
        <w:pStyle w:val="Default"/>
        <w:numPr>
          <w:ilvl w:val="0"/>
          <w:numId w:val="11"/>
        </w:numPr>
        <w:spacing w:lineRule="auto" w:line="276"/>
        <w:jc w:val="both"/>
        <w:rPr>
          <w:color w:val="00000A"/>
          <w:sz w:val="22"/>
          <w:szCs w:val="22"/>
        </w:rPr>
      </w:pPr>
      <w:r>
        <w:rPr>
          <w:color w:val="00000A"/>
          <w:sz w:val="22"/>
          <w:szCs w:val="22"/>
        </w:rPr>
        <w:t xml:space="preserve">termin ważności musi obejmować cały okres wykonywania przedmiotu umowy oraz 30 dni po jego zakończeniu; </w:t>
      </w:r>
    </w:p>
    <w:p>
      <w:pPr>
        <w:pStyle w:val="Default"/>
        <w:numPr>
          <w:ilvl w:val="0"/>
          <w:numId w:val="11"/>
        </w:numPr>
        <w:spacing w:lineRule="auto" w:line="276"/>
        <w:jc w:val="both"/>
        <w:rPr>
          <w:color w:val="00000A"/>
          <w:sz w:val="22"/>
          <w:szCs w:val="22"/>
        </w:rPr>
      </w:pPr>
      <w:r>
        <w:rPr>
          <w:color w:val="00000A"/>
          <w:sz w:val="22"/>
          <w:szCs w:val="22"/>
        </w:rPr>
        <w:t>termin ważności zabezpieczenia roszczeń z tytułu rękojmi za wady musi obejmować cały okres rękojmi za wady oraz 15 dni po upływie tego okresu;</w:t>
      </w:r>
    </w:p>
    <w:p>
      <w:pPr>
        <w:pStyle w:val="Default"/>
        <w:numPr>
          <w:ilvl w:val="0"/>
          <w:numId w:val="9"/>
        </w:numPr>
        <w:spacing w:lineRule="auto" w:line="276"/>
        <w:ind w:left="1276" w:hanging="360"/>
        <w:jc w:val="both"/>
        <w:rPr>
          <w:color w:val="00000A"/>
          <w:sz w:val="22"/>
          <w:szCs w:val="22"/>
        </w:rPr>
      </w:pPr>
      <w:r>
        <w:rPr>
          <w:color w:val="00000A"/>
          <w:sz w:val="22"/>
          <w:szCs w:val="22"/>
        </w:rPr>
        <w:t>nieodwołalne i bezwarunkowe zobowiązanie gwaranta do zapłacenia na rzecz Zamawiającego, w terminie nie dłuższym niż 15 dni, kwoty gwarancji po otrzymaniu pierwszego pisemnego żądania wypłaty zawierającego oświadczenie stwierdzające, że Wykonawca nie wykonał lub nienależycie wywiązał się ze swoich zobowiązań wynikających z umowy.</w:t>
      </w:r>
    </w:p>
    <w:p>
      <w:pPr>
        <w:pStyle w:val="ListParagraph"/>
        <w:suppressAutoHyphens w:val="true"/>
        <w:spacing w:before="60" w:after="0"/>
        <w:jc w:val="both"/>
        <w:rPr>
          <w:rFonts w:ascii="Times New Roman" w:hAnsi="Times New Roman" w:cs="Times New Roman"/>
          <w:bCs/>
        </w:rPr>
      </w:pPr>
      <w:r>
        <w:rPr>
          <w:rFonts w:cs="Times New Roman" w:ascii="Times New Roman" w:hAnsi="Times New Roman"/>
        </w:rPr>
        <w:t>W</w:t>
      </w:r>
      <w:r>
        <w:rPr>
          <w:rFonts w:cs="Times New Roman" w:ascii="Times New Roman" w:hAnsi="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pPr>
        <w:pStyle w:val="ListParagraph"/>
        <w:suppressAutoHyphens w:val="true"/>
        <w:spacing w:before="60" w:after="0"/>
        <w:jc w:val="both"/>
        <w:rPr>
          <w:rFonts w:ascii="Times New Roman" w:hAnsi="Times New Roman" w:cs="Times New Roman"/>
          <w:bCs/>
        </w:rPr>
      </w:pPr>
      <w:r>
        <w:rPr>
          <w:rFonts w:cs="Times New Roman" w:ascii="Times New Roman" w:hAnsi="Times New Roman"/>
          <w:b/>
          <w:bCs/>
        </w:rPr>
        <w:t>Przed złożeniem poręczenia lub gwarancji, należy uzyskać od Zamawiającego akceptację jej treści, w szczególności w zakresie cech określonych w niniejszym punkcie.</w:t>
      </w:r>
    </w:p>
    <w:p>
      <w:pPr>
        <w:pStyle w:val="Wcicietrecitekstu"/>
        <w:numPr>
          <w:ilvl w:val="1"/>
          <w:numId w:val="12"/>
        </w:numPr>
        <w:spacing w:lineRule="auto" w:line="276"/>
        <w:jc w:val="both"/>
        <w:rPr>
          <w:i/>
          <w:i/>
          <w:sz w:val="22"/>
          <w:szCs w:val="22"/>
        </w:rPr>
      </w:pPr>
      <w:r>
        <w:rPr>
          <w:sz w:val="22"/>
          <w:szCs w:val="22"/>
        </w:rPr>
        <w:t xml:space="preserve">Zabezpieczenie wnoszone w pieniądzu Wykonawca zobowiązany jest wpłacić przelewem na następujący rachunek bankowy Zamawiającego: </w:t>
      </w:r>
      <w:r>
        <w:rPr>
          <w:bCs/>
          <w:sz w:val="22"/>
          <w:szCs w:val="22"/>
        </w:rPr>
        <w:t xml:space="preserve">LWBS Drezdenko Oddział Zwierzyn nr 37 8362 0005 4202 0473 2000 0010 z dopiskiem: </w:t>
      </w:r>
      <w:r>
        <w:rPr>
          <w:bCs/>
          <w:i/>
          <w:sz w:val="22"/>
          <w:szCs w:val="22"/>
        </w:rPr>
        <w:t>„</w:t>
      </w:r>
      <w:r>
        <w:rPr>
          <w:b/>
          <w:bCs/>
          <w:i/>
          <w:sz w:val="22"/>
          <w:szCs w:val="22"/>
        </w:rPr>
        <w:t>P</w:t>
      </w:r>
      <w:r>
        <w:rPr>
          <w:rFonts w:eastAsia="Calibri"/>
          <w:b/>
          <w:bCs/>
          <w:i/>
          <w:sz w:val="22"/>
          <w:szCs w:val="22"/>
        </w:rPr>
        <w:t>ropagowanie rybackiego dziedzictwa kulturowego poprzez remont i doposażenie Gminnego Ośrodka Kultury „Jutrzenka” w Zwierzynie”</w:t>
      </w:r>
    </w:p>
    <w:p>
      <w:pPr>
        <w:pStyle w:val="Wcicietrecitekstu"/>
        <w:numPr>
          <w:ilvl w:val="1"/>
          <w:numId w:val="12"/>
        </w:numPr>
        <w:spacing w:lineRule="auto" w:line="276"/>
        <w:ind w:left="720" w:hanging="578"/>
        <w:jc w:val="both"/>
        <w:rPr>
          <w:sz w:val="22"/>
          <w:szCs w:val="22"/>
        </w:rPr>
      </w:pPr>
      <w:r>
        <w:rPr>
          <w:sz w:val="22"/>
          <w:szCs w:val="22"/>
        </w:rPr>
        <w:t xml:space="preserve">W przypadku wniesienia wadium w pieniądzu Wykonawca może wyrazić zgodę na zaliczenie kwoty wadium na poczet zabezpieczenia. </w:t>
      </w:r>
    </w:p>
    <w:p>
      <w:pPr>
        <w:pStyle w:val="Wcicietrecitekstu"/>
        <w:numPr>
          <w:ilvl w:val="1"/>
          <w:numId w:val="12"/>
        </w:numPr>
        <w:spacing w:lineRule="auto" w:line="276"/>
        <w:ind w:left="720" w:hanging="578"/>
        <w:jc w:val="both"/>
        <w:rPr>
          <w:sz w:val="22"/>
          <w:szCs w:val="22"/>
        </w:rPr>
      </w:pPr>
      <w:r>
        <w:rPr>
          <w:sz w:val="22"/>
          <w:szCs w:val="22"/>
        </w:rPr>
        <w:t>Zamawiający zwraca zabezpieczenie wniesione w pieniądzu wraz z odsetkami wynikającymi   z umowy rachunku bankowego, na którym było ono przechowywane.</w:t>
      </w:r>
    </w:p>
    <w:p>
      <w:pPr>
        <w:pStyle w:val="Wcicietrecitekstu"/>
        <w:numPr>
          <w:ilvl w:val="1"/>
          <w:numId w:val="12"/>
        </w:numPr>
        <w:spacing w:lineRule="auto" w:line="276"/>
        <w:ind w:left="720" w:hanging="578"/>
        <w:jc w:val="both"/>
        <w:rPr>
          <w:sz w:val="22"/>
          <w:szCs w:val="22"/>
        </w:rPr>
      </w:pPr>
      <w:r>
        <w:rPr>
          <w:sz w:val="22"/>
          <w:szCs w:val="22"/>
        </w:rPr>
        <w:t xml:space="preserve"> </w:t>
      </w:r>
      <w:r>
        <w:rPr>
          <w:sz w:val="22"/>
          <w:szCs w:val="22"/>
        </w:rPr>
        <w:t>Zamawiający dokona zwrotu zabezpieczenia należytego wykonania umowy:</w:t>
      </w:r>
    </w:p>
    <w:p>
      <w:pPr>
        <w:pStyle w:val="ListParagraph"/>
        <w:numPr>
          <w:ilvl w:val="0"/>
          <w:numId w:val="8"/>
        </w:numPr>
        <w:tabs>
          <w:tab w:val="left" w:pos="1276" w:leader="none"/>
          <w:tab w:val="left" w:pos="1418" w:leader="none"/>
        </w:tabs>
        <w:ind w:left="1276" w:hanging="425"/>
        <w:jc w:val="both"/>
        <w:rPr>
          <w:rFonts w:ascii="Times New Roman" w:hAnsi="Times New Roman" w:cs="Times New Roman"/>
        </w:rPr>
      </w:pPr>
      <w:r>
        <w:rPr>
          <w:rFonts w:cs="Times New Roman" w:ascii="Times New Roman" w:hAnsi="Times New Roman"/>
        </w:rPr>
        <w:t>w wysokości 70% wniesionego zabezpieczenia wykonania umowy w terminie                 30 dni po odbiorze końcowym przedmiotu umowy;</w:t>
      </w:r>
    </w:p>
    <w:p>
      <w:pPr>
        <w:pStyle w:val="ListParagraph"/>
        <w:numPr>
          <w:ilvl w:val="0"/>
          <w:numId w:val="8"/>
        </w:numPr>
        <w:tabs>
          <w:tab w:val="left" w:pos="1276" w:leader="none"/>
          <w:tab w:val="left" w:pos="1418" w:leader="none"/>
        </w:tabs>
        <w:ind w:left="1276" w:hanging="425"/>
        <w:jc w:val="both"/>
        <w:rPr>
          <w:rFonts w:ascii="Times New Roman" w:hAnsi="Times New Roman" w:cs="Times New Roman"/>
        </w:rPr>
      </w:pPr>
      <w:r>
        <w:rPr>
          <w:rFonts w:cs="Times New Roman" w:ascii="Times New Roman" w:hAnsi="Times New Roman"/>
        </w:rPr>
        <w:t>pozostała część zabezpieczenia, tj. 30% pozostaje na zabezpieczenie roszczeń z tytułu rękojmi za wady - zabezpieczenie zostanie zwrócone nie później niż w 15 dniu po upływie okresu rękojmi za wady.</w:t>
      </w:r>
    </w:p>
    <w:p>
      <w:pPr>
        <w:pStyle w:val="Normal"/>
        <w:suppressAutoHyphens w:val="true"/>
        <w:spacing w:lineRule="auto" w:line="276" w:before="120" w:after="0"/>
        <w:ind w:left="709" w:right="-567" w:hanging="709"/>
        <w:rPr>
          <w:b/>
          <w:b/>
          <w:sz w:val="22"/>
          <w:szCs w:val="22"/>
          <w:lang w:eastAsia="ar-SA"/>
        </w:rPr>
      </w:pPr>
      <w:r>
        <w:rPr>
          <w:b/>
          <w:sz w:val="22"/>
          <w:szCs w:val="22"/>
          <w:lang w:eastAsia="ar-SA"/>
        </w:rPr>
        <w:t>22.</w:t>
        <w:tab/>
      </w:r>
      <w:r>
        <w:rPr>
          <w:b/>
          <w:bCs/>
          <w:spacing w:val="4"/>
          <w:sz w:val="22"/>
          <w:szCs w:val="22"/>
        </w:rPr>
        <w:t>POUCZENIE O ŚRODKACH OCHRONY PRAWNEJ</w:t>
      </w:r>
    </w:p>
    <w:p>
      <w:pPr>
        <w:pStyle w:val="Normal"/>
        <w:spacing w:lineRule="auto" w:line="276" w:before="120" w:after="0"/>
        <w:ind w:left="720" w:hanging="720"/>
        <w:jc w:val="both"/>
        <w:rPr>
          <w:spacing w:val="4"/>
          <w:sz w:val="22"/>
          <w:szCs w:val="22"/>
        </w:rPr>
      </w:pPr>
      <w:r>
        <w:rPr>
          <w:spacing w:val="4"/>
          <w:sz w:val="22"/>
          <w:szCs w:val="22"/>
        </w:rPr>
        <w:t xml:space="preserve">22.1. </w:t>
        <w:tab/>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pPr>
        <w:pStyle w:val="Normal"/>
        <w:spacing w:lineRule="auto" w:line="276" w:before="120" w:after="0"/>
        <w:ind w:left="720" w:hanging="720"/>
        <w:jc w:val="both"/>
        <w:rPr>
          <w:spacing w:val="4"/>
          <w:sz w:val="22"/>
          <w:szCs w:val="22"/>
        </w:rPr>
      </w:pPr>
      <w:r>
        <w:rPr>
          <w:spacing w:val="4"/>
          <w:sz w:val="22"/>
          <w:szCs w:val="22"/>
        </w:rPr>
        <w:t xml:space="preserve">22.2. </w:t>
        <w:tab/>
        <w:t xml:space="preserve">Odwołanie przysługuje wyłącznie wobec czynności: </w:t>
      </w:r>
    </w:p>
    <w:p>
      <w:pPr>
        <w:pStyle w:val="Normal"/>
        <w:spacing w:lineRule="auto" w:line="276"/>
        <w:ind w:left="720" w:hanging="11"/>
        <w:jc w:val="both"/>
        <w:rPr>
          <w:spacing w:val="4"/>
          <w:sz w:val="22"/>
          <w:szCs w:val="22"/>
        </w:rPr>
      </w:pPr>
      <w:r>
        <w:rPr>
          <w:bCs/>
          <w:spacing w:val="4"/>
          <w:sz w:val="22"/>
          <w:szCs w:val="22"/>
        </w:rPr>
        <w:t xml:space="preserve">1) określenia warunków udziału w postępowaniu; </w:t>
      </w:r>
    </w:p>
    <w:p>
      <w:pPr>
        <w:pStyle w:val="Normal"/>
        <w:spacing w:lineRule="auto" w:line="276"/>
        <w:ind w:left="720" w:hanging="11"/>
        <w:jc w:val="both"/>
        <w:rPr>
          <w:spacing w:val="4"/>
          <w:sz w:val="22"/>
          <w:szCs w:val="22"/>
        </w:rPr>
      </w:pPr>
      <w:r>
        <w:rPr>
          <w:spacing w:val="4"/>
          <w:sz w:val="22"/>
          <w:szCs w:val="22"/>
        </w:rPr>
        <w:t xml:space="preserve">2) wykluczenia odwołującego z postępowania o udzielenie zamówienia; </w:t>
      </w:r>
    </w:p>
    <w:p>
      <w:pPr>
        <w:pStyle w:val="Normal"/>
        <w:spacing w:lineRule="auto" w:line="276"/>
        <w:ind w:left="720" w:hanging="11"/>
        <w:jc w:val="both"/>
        <w:rPr>
          <w:spacing w:val="4"/>
          <w:sz w:val="22"/>
          <w:szCs w:val="22"/>
        </w:rPr>
      </w:pPr>
      <w:r>
        <w:rPr>
          <w:spacing w:val="4"/>
          <w:sz w:val="22"/>
          <w:szCs w:val="22"/>
        </w:rPr>
        <w:t xml:space="preserve">3) odrzucenia oferty odwołującego; </w:t>
      </w:r>
    </w:p>
    <w:p>
      <w:pPr>
        <w:pStyle w:val="Normal"/>
        <w:spacing w:lineRule="auto" w:line="276"/>
        <w:ind w:left="720" w:hanging="11"/>
        <w:jc w:val="both"/>
        <w:rPr>
          <w:spacing w:val="4"/>
          <w:sz w:val="22"/>
          <w:szCs w:val="22"/>
        </w:rPr>
      </w:pPr>
      <w:r>
        <w:rPr>
          <w:bCs/>
          <w:spacing w:val="4"/>
          <w:sz w:val="22"/>
          <w:szCs w:val="22"/>
        </w:rPr>
        <w:t xml:space="preserve">4) opisu przedmiotu zamówienia; </w:t>
      </w:r>
    </w:p>
    <w:p>
      <w:pPr>
        <w:pStyle w:val="Normal"/>
        <w:spacing w:lineRule="auto" w:line="276"/>
        <w:ind w:left="720" w:hanging="11"/>
        <w:jc w:val="both"/>
        <w:rPr>
          <w:spacing w:val="4"/>
          <w:sz w:val="22"/>
          <w:szCs w:val="22"/>
        </w:rPr>
      </w:pPr>
      <w:r>
        <w:rPr>
          <w:bCs/>
          <w:spacing w:val="4"/>
          <w:sz w:val="22"/>
          <w:szCs w:val="22"/>
        </w:rPr>
        <w:t>5) wyboru najkorzystniejszej oferty</w:t>
      </w:r>
      <w:r>
        <w:rPr>
          <w:spacing w:val="4"/>
          <w:sz w:val="22"/>
          <w:szCs w:val="22"/>
        </w:rPr>
        <w:t>.</w:t>
      </w:r>
    </w:p>
    <w:p>
      <w:pPr>
        <w:pStyle w:val="Normal"/>
        <w:spacing w:lineRule="auto" w:line="276" w:before="120" w:after="0"/>
        <w:ind w:left="720" w:hanging="720"/>
        <w:jc w:val="both"/>
        <w:rPr>
          <w:spacing w:val="4"/>
          <w:sz w:val="22"/>
          <w:szCs w:val="22"/>
        </w:rPr>
      </w:pPr>
      <w:r>
        <w:rPr>
          <w:spacing w:val="4"/>
          <w:sz w:val="22"/>
          <w:szCs w:val="22"/>
        </w:rPr>
        <w:t>22.3.</w:t>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pPr>
        <w:pStyle w:val="Normal"/>
        <w:spacing w:lineRule="auto" w:line="276" w:before="120" w:after="0"/>
        <w:ind w:left="720" w:hanging="720"/>
        <w:jc w:val="both"/>
        <w:rPr>
          <w:spacing w:val="4"/>
          <w:sz w:val="22"/>
          <w:szCs w:val="22"/>
        </w:rPr>
      </w:pPr>
      <w:r>
        <w:rPr>
          <w:spacing w:val="4"/>
          <w:sz w:val="22"/>
          <w:szCs w:val="22"/>
        </w:rPr>
        <w:t>22.4.</w:t>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pPr>
        <w:pStyle w:val="Normal"/>
        <w:spacing w:lineRule="auto" w:line="276" w:before="120" w:after="0"/>
        <w:ind w:left="720" w:hanging="12"/>
        <w:jc w:val="both"/>
        <w:rPr>
          <w:spacing w:val="4"/>
          <w:sz w:val="22"/>
          <w:szCs w:val="22"/>
        </w:rPr>
      </w:pPr>
      <w:r>
        <w:rPr>
          <w:spacing w:val="4"/>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pPr>
        <w:pStyle w:val="Normal"/>
        <w:spacing w:lineRule="auto" w:line="276" w:before="120" w:after="0"/>
        <w:ind w:left="720" w:hanging="720"/>
        <w:jc w:val="both"/>
        <w:rPr>
          <w:spacing w:val="4"/>
          <w:sz w:val="22"/>
          <w:szCs w:val="22"/>
        </w:rPr>
      </w:pPr>
      <w:r>
        <w:rPr>
          <w:spacing w:val="4"/>
          <w:sz w:val="22"/>
          <w:szCs w:val="22"/>
        </w:rPr>
        <w:t>22.5.</w:t>
        <w:tab/>
        <w:t>Terminy wniesienia odwołania.</w:t>
      </w:r>
    </w:p>
    <w:p>
      <w:pPr>
        <w:pStyle w:val="Normal"/>
        <w:spacing w:lineRule="auto" w:line="276" w:before="120" w:after="0"/>
        <w:ind w:left="720" w:hanging="720"/>
        <w:jc w:val="both"/>
        <w:rPr>
          <w:spacing w:val="4"/>
          <w:sz w:val="22"/>
          <w:szCs w:val="22"/>
        </w:rPr>
      </w:pPr>
      <w:r>
        <w:rPr>
          <w:spacing w:val="4"/>
          <w:sz w:val="22"/>
          <w:szCs w:val="22"/>
        </w:rPr>
        <w:t>22.5.1.</w:t>
      </w:r>
      <w:r>
        <w:rPr>
          <w:sz w:val="22"/>
          <w:szCs w:val="22"/>
        </w:rPr>
        <w:t xml:space="preserve"> </w:t>
      </w:r>
      <w:r>
        <w:rPr>
          <w:spacing w:val="4"/>
          <w:sz w:val="22"/>
          <w:szCs w:val="22"/>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pPr>
        <w:pStyle w:val="Normal"/>
        <w:spacing w:lineRule="auto" w:line="276" w:before="120" w:after="0"/>
        <w:ind w:left="720" w:hanging="720"/>
        <w:jc w:val="both"/>
        <w:rPr>
          <w:sz w:val="22"/>
          <w:szCs w:val="22"/>
        </w:rPr>
      </w:pPr>
      <w:r>
        <w:rPr>
          <w:sz w:val="22"/>
          <w:szCs w:val="22"/>
        </w:rPr>
        <w:t>22.5.2.</w:t>
      </w:r>
      <w:r>
        <w:rPr>
          <w:rFonts w:eastAsia="Calibri"/>
          <w:sz w:val="22"/>
          <w:szCs w:val="22"/>
        </w:rPr>
        <w:t xml:space="preserve"> Odwołanie wobec treści ogłoszenia o zamówieniu, a jeżeli postępowanie jest prowadzone w trybie przetargu nieograniczonego, także wobec postanowień Specyfikacji Istotnych Warunków Zamówienia, wnosi się w terminie </w:t>
      </w:r>
      <w:r>
        <w:rPr>
          <w:sz w:val="22"/>
          <w:szCs w:val="22"/>
        </w:rPr>
        <w:t>5 dni od dnia zamieszczenia ogłoszenia w Biuletynie Zamówień Publicznych lub Specyfikacji Istotnych Warunków Zamówienia na stronie internetowej - jeżeli wartość zamówienia jest mniejsza niż kwoty określone w przepisach wydanych na podstawie art. 11 ust. 8.</w:t>
      </w:r>
    </w:p>
    <w:p>
      <w:pPr>
        <w:pStyle w:val="Normal"/>
        <w:spacing w:lineRule="auto" w:line="276" w:before="120" w:after="0"/>
        <w:ind w:left="720" w:hanging="720"/>
        <w:jc w:val="both"/>
        <w:rPr>
          <w:spacing w:val="4"/>
          <w:sz w:val="22"/>
          <w:szCs w:val="22"/>
        </w:rPr>
      </w:pPr>
      <w:r>
        <w:rPr>
          <w:spacing w:val="4"/>
          <w:sz w:val="22"/>
          <w:szCs w:val="22"/>
        </w:rPr>
        <w:t>22.5.3. Odwołanie wobec czynności innych niż określone w pkt. 22.5.1. i 22.5.2. IDW wnosi się w terminie 5 dni od dnia, w którym powzięto lub przy zachowaniu należytej staranności można było powziąć wiadomość o okolicznościach stanowiących podstawę jego wniesienia.</w:t>
      </w:r>
    </w:p>
    <w:p>
      <w:pPr>
        <w:pStyle w:val="Normal"/>
        <w:spacing w:lineRule="auto" w:line="276" w:before="120" w:after="0"/>
        <w:ind w:left="720" w:hanging="720"/>
        <w:jc w:val="both"/>
        <w:rPr>
          <w:spacing w:val="4"/>
          <w:sz w:val="22"/>
          <w:szCs w:val="22"/>
        </w:rPr>
      </w:pPr>
      <w:r>
        <w:rPr>
          <w:spacing w:val="4"/>
          <w:sz w:val="22"/>
          <w:szCs w:val="22"/>
        </w:rPr>
        <w:t>22.5.4. Jeżeli Zamawiający nie przesłał Wykonawcy zawiadomienia o wyborze oferty najkorzystniejszej odwołanie wnosi się nie później niż w terminie:</w:t>
      </w:r>
    </w:p>
    <w:p>
      <w:pPr>
        <w:pStyle w:val="Normal"/>
        <w:spacing w:lineRule="auto" w:line="276" w:before="120" w:after="0"/>
        <w:ind w:left="993" w:hanging="295"/>
        <w:jc w:val="both"/>
        <w:rPr>
          <w:spacing w:val="4"/>
          <w:sz w:val="22"/>
          <w:szCs w:val="22"/>
        </w:rPr>
      </w:pPr>
      <w:r>
        <w:rPr>
          <w:spacing w:val="4"/>
          <w:sz w:val="22"/>
          <w:szCs w:val="22"/>
        </w:rPr>
        <w:t>1)</w:t>
        <w:tab/>
        <w:t>15 dni od dnia publikacji w Biuletynie Zamówień Publicznych ogłoszenia o udzieleniu zamówienia;</w:t>
      </w:r>
    </w:p>
    <w:p>
      <w:pPr>
        <w:pStyle w:val="Normal"/>
        <w:spacing w:lineRule="auto" w:line="276" w:before="120" w:after="0"/>
        <w:ind w:left="993" w:hanging="295"/>
        <w:jc w:val="both"/>
        <w:rPr>
          <w:spacing w:val="4"/>
          <w:sz w:val="22"/>
          <w:szCs w:val="22"/>
        </w:rPr>
      </w:pPr>
      <w:r>
        <w:rPr>
          <w:spacing w:val="4"/>
          <w:sz w:val="22"/>
          <w:szCs w:val="22"/>
        </w:rPr>
        <w:t>2)</w:t>
        <w:tab/>
        <w:t xml:space="preserve">1 miesiąca od dnia zawarcia umowy, jeżeli Zamawiający nie zamieścił </w:t>
        <w:br/>
        <w:t>w Biuletynie Zamówień Publicznych ogłoszenia o udzieleniu zamówienia.</w:t>
      </w:r>
    </w:p>
    <w:p>
      <w:pPr>
        <w:pStyle w:val="Normal"/>
        <w:spacing w:lineRule="auto" w:line="276" w:before="120" w:after="0"/>
        <w:ind w:left="720" w:hanging="720"/>
        <w:jc w:val="both"/>
        <w:rPr>
          <w:spacing w:val="4"/>
          <w:sz w:val="22"/>
          <w:szCs w:val="22"/>
        </w:rPr>
      </w:pPr>
      <w:r>
        <w:rPr>
          <w:spacing w:val="4"/>
          <w:sz w:val="22"/>
          <w:szCs w:val="22"/>
        </w:rPr>
        <w:t>22.6.</w:t>
        <w:tab/>
        <w:t>Szczegółowe zasady postępowania po wniesieniu odwołania, określają stosowne przepisy Działu VI ustawy Pzp.</w:t>
      </w:r>
    </w:p>
    <w:p>
      <w:pPr>
        <w:pStyle w:val="Normal"/>
        <w:spacing w:lineRule="auto" w:line="276" w:before="120" w:after="0"/>
        <w:ind w:left="720" w:hanging="720"/>
        <w:jc w:val="both"/>
        <w:rPr>
          <w:spacing w:val="4"/>
          <w:sz w:val="22"/>
          <w:szCs w:val="22"/>
        </w:rPr>
      </w:pPr>
      <w:r>
        <w:rPr>
          <w:spacing w:val="4"/>
          <w:sz w:val="22"/>
          <w:szCs w:val="22"/>
        </w:rPr>
        <w:t>22.7.</w:t>
        <w:tab/>
        <w:t>Na orzeczenie Krajowej Izby Odwoławczej, stronom oraz uczestnikom postępowania odwoławczego przysługuje skarga do sądu.</w:t>
      </w:r>
    </w:p>
    <w:p>
      <w:pPr>
        <w:pStyle w:val="Normal"/>
        <w:spacing w:lineRule="auto" w:line="276" w:before="120" w:after="0"/>
        <w:ind w:left="720" w:hanging="720"/>
        <w:jc w:val="both"/>
        <w:rPr>
          <w:spacing w:val="4"/>
          <w:sz w:val="22"/>
          <w:szCs w:val="22"/>
        </w:rPr>
      </w:pPr>
      <w:r>
        <w:rPr>
          <w:spacing w:val="4"/>
          <w:sz w:val="22"/>
          <w:szCs w:val="22"/>
        </w:rPr>
        <w:t>22.8.</w:t>
        <w:tab/>
        <w:t xml:space="preserve">Skargę wnosi się do sądu okręgowego właściwego dla siedziby Zamawiającego, </w:t>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pPr>
        <w:pStyle w:val="Normal"/>
        <w:spacing w:lineRule="auto" w:line="276" w:before="120" w:after="0"/>
        <w:ind w:left="720" w:hanging="720"/>
        <w:jc w:val="both"/>
        <w:rPr>
          <w:sz w:val="22"/>
          <w:szCs w:val="22"/>
        </w:rPr>
      </w:pPr>
      <w:r>
        <w:rPr>
          <w:spacing w:val="4"/>
          <w:sz w:val="22"/>
          <w:szCs w:val="22"/>
        </w:rPr>
        <w:t>22.9.</w:t>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pkt 22.2.</w:t>
      </w:r>
    </w:p>
    <w:p>
      <w:pPr>
        <w:pStyle w:val="Tretekstu"/>
        <w:spacing w:lineRule="auto" w:line="276" w:before="120" w:after="0"/>
        <w:ind w:left="567" w:hanging="0"/>
        <w:jc w:val="both"/>
        <w:rPr>
          <w:rFonts w:ascii="Times New Roman" w:hAnsi="Times New Roman" w:cs="Times New Roman"/>
          <w:sz w:val="22"/>
          <w:szCs w:val="22"/>
        </w:rPr>
      </w:pPr>
      <w:r>
        <w:rPr>
          <w:rFonts w:cs="Times New Roman" w:ascii="Times New Roman" w:hAnsi="Times New Roman"/>
          <w:sz w:val="22"/>
          <w:szCs w:val="22"/>
        </w:rPr>
      </w:r>
    </w:p>
    <w:p>
      <w:pPr>
        <w:pStyle w:val="Nagwek6"/>
        <w:spacing w:lineRule="auto" w:line="276" w:before="0" w:after="0"/>
        <w:rPr>
          <w:rFonts w:ascii="Times New Roman" w:hAnsi="Times New Roman" w:cs="Times New Roman"/>
          <w:sz w:val="22"/>
          <w:szCs w:val="22"/>
        </w:rPr>
      </w:pPr>
      <w:r>
        <w:rPr>
          <w:rFonts w:cs="Times New Roman" w:ascii="Times New Roman" w:hAnsi="Times New Roman"/>
          <w:sz w:val="22"/>
          <w:szCs w:val="22"/>
        </w:rPr>
        <w:t>Rozdział 2</w:t>
      </w:r>
    </w:p>
    <w:p>
      <w:pPr>
        <w:pStyle w:val="Normal"/>
        <w:numPr>
          <w:ilvl w:val="0"/>
          <w:numId w:val="0"/>
        </w:numPr>
        <w:spacing w:lineRule="auto" w:line="276"/>
        <w:jc w:val="center"/>
        <w:outlineLvl w:val="0"/>
        <w:rPr>
          <w:b/>
          <w:b/>
          <w:bCs/>
          <w:sz w:val="22"/>
          <w:szCs w:val="22"/>
        </w:rPr>
      </w:pPr>
      <w:r>
        <w:rPr>
          <w:b/>
          <w:bCs/>
          <w:sz w:val="22"/>
          <w:szCs w:val="22"/>
        </w:rPr>
      </w:r>
    </w:p>
    <w:p>
      <w:pPr>
        <w:pStyle w:val="Normal"/>
        <w:numPr>
          <w:ilvl w:val="0"/>
          <w:numId w:val="0"/>
        </w:numPr>
        <w:spacing w:lineRule="auto" w:line="276"/>
        <w:jc w:val="center"/>
        <w:outlineLvl w:val="0"/>
        <w:rPr>
          <w:sz w:val="22"/>
          <w:szCs w:val="22"/>
        </w:rPr>
      </w:pPr>
      <w:r>
        <w:rPr>
          <w:sz w:val="22"/>
          <w:szCs w:val="22"/>
        </w:rPr>
        <w:t>Z</w:t>
      </w:r>
      <w:r>
        <w:rPr>
          <w:b/>
          <w:bCs/>
          <w:sz w:val="22"/>
          <w:szCs w:val="22"/>
        </w:rPr>
        <w:t>ałączniki</w:t>
      </w:r>
    </w:p>
    <w:p>
      <w:pPr>
        <w:pStyle w:val="Normal"/>
        <w:numPr>
          <w:ilvl w:val="0"/>
          <w:numId w:val="0"/>
        </w:numPr>
        <w:spacing w:lineRule="auto" w:line="276"/>
        <w:jc w:val="center"/>
        <w:outlineLvl w:val="0"/>
        <w:rPr>
          <w:sz w:val="22"/>
          <w:szCs w:val="22"/>
        </w:rPr>
      </w:pPr>
      <w:r>
        <w:rPr>
          <w:sz w:val="22"/>
          <w:szCs w:val="22"/>
        </w:rPr>
      </w:r>
    </w:p>
    <w:p>
      <w:pPr>
        <w:pStyle w:val="Normal"/>
        <w:numPr>
          <w:ilvl w:val="0"/>
          <w:numId w:val="0"/>
        </w:numPr>
        <w:spacing w:lineRule="auto" w:line="276"/>
        <w:jc w:val="center"/>
        <w:outlineLvl w:val="0"/>
        <w:rPr>
          <w:sz w:val="22"/>
          <w:szCs w:val="22"/>
        </w:rPr>
      </w:pPr>
      <w:r>
        <w:rPr>
          <w:sz w:val="22"/>
          <w:szCs w:val="22"/>
        </w:rPr>
      </w:r>
    </w:p>
    <w:p>
      <w:pPr>
        <w:pStyle w:val="Normal"/>
        <w:numPr>
          <w:ilvl w:val="0"/>
          <w:numId w:val="0"/>
        </w:numPr>
        <w:tabs>
          <w:tab w:val="left" w:pos="5101" w:leader="none"/>
        </w:tabs>
        <w:spacing w:lineRule="auto" w:line="276"/>
        <w:outlineLvl w:val="0"/>
        <w:rPr>
          <w:sz w:val="22"/>
          <w:szCs w:val="22"/>
        </w:rPr>
      </w:pPr>
      <w:r>
        <w:rPr>
          <w:sz w:val="22"/>
          <w:szCs w:val="22"/>
        </w:rPr>
        <w:tab/>
      </w:r>
    </w:p>
    <w:p>
      <w:pPr>
        <w:pStyle w:val="Normal"/>
        <w:numPr>
          <w:ilvl w:val="0"/>
          <w:numId w:val="0"/>
        </w:numPr>
        <w:spacing w:lineRule="auto" w:line="276"/>
        <w:jc w:val="center"/>
        <w:outlineLvl w:val="0"/>
        <w:rPr>
          <w:sz w:val="22"/>
          <w:szCs w:val="22"/>
        </w:rPr>
      </w:pPr>
      <w:r>
        <w:rPr>
          <w:sz w:val="22"/>
          <w:szCs w:val="22"/>
        </w:rPr>
      </w:r>
    </w:p>
    <w:p>
      <w:pPr>
        <w:pStyle w:val="Normal"/>
        <w:numPr>
          <w:ilvl w:val="0"/>
          <w:numId w:val="0"/>
        </w:numPr>
        <w:spacing w:lineRule="auto" w:line="276"/>
        <w:jc w:val="center"/>
        <w:outlineLvl w:val="0"/>
        <w:rPr>
          <w:sz w:val="22"/>
          <w:szCs w:val="22"/>
        </w:rPr>
      </w:pPr>
      <w:r>
        <w:rPr>
          <w:sz w:val="22"/>
          <w:szCs w:val="22"/>
        </w:rPr>
      </w:r>
    </w:p>
    <w:p>
      <w:pPr>
        <w:pStyle w:val="Normal"/>
        <w:numPr>
          <w:ilvl w:val="0"/>
          <w:numId w:val="0"/>
        </w:numPr>
        <w:spacing w:lineRule="auto" w:line="276"/>
        <w:jc w:val="center"/>
        <w:outlineLvl w:val="0"/>
        <w:rPr>
          <w:sz w:val="22"/>
          <w:szCs w:val="22"/>
        </w:rPr>
      </w:pPr>
      <w:r>
        <w:rPr>
          <w:sz w:val="22"/>
          <w:szCs w:val="22"/>
        </w:rPr>
      </w:r>
    </w:p>
    <w:p>
      <w:pPr>
        <w:pStyle w:val="Normal"/>
        <w:numPr>
          <w:ilvl w:val="0"/>
          <w:numId w:val="0"/>
        </w:numPr>
        <w:spacing w:lineRule="auto" w:line="276"/>
        <w:jc w:val="both"/>
        <w:outlineLvl w:val="0"/>
        <w:rPr/>
      </w:pPr>
      <w:r>
        <w:rPr/>
      </w:r>
    </w:p>
    <w:sectPr>
      <w:headerReference w:type="default" r:id="rId6"/>
      <w:footerReference w:type="default" r:id="rId7"/>
      <w:type w:val="nextPage"/>
      <w:pgSz w:w="11906" w:h="16838"/>
      <w:pgMar w:left="1418" w:right="1418" w:header="709" w:top="993" w:footer="709" w:bottom="2268"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Courier New">
    <w:charset w:val="ee"/>
    <w:family w:val="roman"/>
    <w:pitch w:val="variable"/>
  </w:font>
  <w:font w:name="Tahoma">
    <w:charset w:val="ee"/>
    <w:family w:val="roman"/>
    <w:pitch w:val="variable"/>
  </w:font>
  <w:font w:name="Verdana">
    <w:charset w:val="ee"/>
    <w:family w:val="roman"/>
    <w:pitch w:val="variable"/>
  </w:font>
  <w:font w:name="Liberation Sans">
    <w:altName w:val="Arial"/>
    <w:charset w:val="ee"/>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86187690"/>
    </w:sdtPr>
    <w:sdtContent>
      <w:p>
        <w:pPr>
          <w:pStyle w:val="Normal"/>
          <w:widowControl w:val="false"/>
          <w:jc w:val="center"/>
          <w:rPr>
            <w:sz w:val="22"/>
            <w:szCs w:val="22"/>
          </w:rPr>
        </w:pPr>
        <w:r>
          <w:rPr>
            <w:sz w:val="22"/>
            <w:szCs w:val="22"/>
          </w:rPr>
        </w:r>
      </w:p>
      <w:p>
        <w:pPr>
          <w:pStyle w:val="Stopka"/>
          <w:pBdr>
            <w:top w:val="single" w:sz="4" w:space="1" w:color="A5A5A5"/>
          </w:pBdr>
          <w:rPr>
            <w:rFonts w:eastAsia="Calibri"/>
            <w:bCs/>
            <w:i/>
            <w:i/>
          </w:rPr>
        </w:pPr>
        <w:r>
          <w:rPr>
            <w:i/>
            <w:color w:val="000000" w:themeColor="text1"/>
          </w:rPr>
          <w:t xml:space="preserve">Nazwa zamówienia: </w:t>
        </w:r>
        <w:r>
          <w:rPr>
            <w:rFonts w:eastAsia="Calibri"/>
            <w:bCs/>
            <w:i/>
          </w:rPr>
          <w:t>Propagowanie rybackiego dziedzictwa kulturowego poprzez remont pomieszczeń i doposażenie Gminnego Ośrodka Kultury „Jutrzenka” w Zwierzynie</w:t>
        </w:r>
      </w:p>
      <w:p>
        <w:pPr>
          <w:pStyle w:val="Stopka"/>
          <w:pBdr>
            <w:top w:val="single" w:sz="4" w:space="1" w:color="A5A5A5"/>
          </w:pBdr>
          <w:rPr>
            <w:i/>
            <w:i/>
            <w:color w:val="000000" w:themeColor="text1"/>
          </w:rPr>
        </w:pPr>
        <w:r>
          <w:rPr>
            <w:i/>
            <w:color w:val="000000" w:themeColor="text1"/>
          </w:rPr>
          <w:t>Numer zamówienia: GOK.271.2.2018</w:t>
        </w:r>
      </w:p>
      <w:p>
        <w:pPr>
          <w:pStyle w:val="Stopka"/>
          <w:pBdr>
            <w:top w:val="single" w:sz="4" w:space="1" w:color="A5A5A5"/>
          </w:pBdr>
          <w:jc w:val="center"/>
          <w:rPr/>
        </w:pPr>
        <w:r>
          <w:rPr/>
          <w:fldChar w:fldCharType="begin"/>
        </w:r>
        <w:r>
          <w:rPr/>
          <w:instrText> PAGE </w:instrText>
        </w:r>
        <w:r>
          <w:rPr/>
          <w:fldChar w:fldCharType="separate"/>
        </w:r>
        <w:r>
          <w:rPr/>
          <w:t>22</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8"/>
      <w:numFmt w:val="decimal"/>
      <w:lvlText w:val="%1"/>
      <w:lvlJc w:val="left"/>
      <w:pPr>
        <w:tabs>
          <w:tab w:val="num" w:pos="555"/>
        </w:tabs>
        <w:ind w:left="555" w:hanging="555"/>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3"/>
      <w:numFmt w:val="decimal"/>
      <w:lvlText w:val="%1."/>
      <w:lvlJc w:val="left"/>
      <w:pPr>
        <w:ind w:left="510" w:hanging="51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3">
    <w:lvl w:ilvl="0">
      <w:start w:val="1"/>
      <w:numFmt w:val="lowerLetter"/>
      <w:lvlText w:val="%1)"/>
      <w:lvlJc w:val="left"/>
      <w:pPr>
        <w:ind w:left="1129" w:hanging="4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lvl w:ilvl="0">
      <w:start w:val="1"/>
      <w:numFmt w:val="lowerLetter"/>
      <w:lvlText w:val="%1)"/>
      <w:lvlJc w:val="left"/>
      <w:pPr>
        <w:tabs>
          <w:tab w:val="num" w:pos="1778"/>
        </w:tabs>
        <w:ind w:left="1778" w:hanging="360"/>
      </w:pPr>
      <w:rPr>
        <w:sz w:val="22"/>
        <w:b/>
        <w:color w:val="00000A"/>
      </w:rPr>
    </w:lvl>
    <w:lvl w:ilvl="1">
      <w:start w:val="1"/>
      <w:numFmt w:val="decimal"/>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5">
    <w:lvl w:ilvl="0">
      <w:start w:val="1"/>
      <w:numFmt w:val="lowerLetter"/>
      <w:lvlText w:val="%1)"/>
      <w:lvlJc w:val="left"/>
      <w:pPr>
        <w:tabs>
          <w:tab w:val="num" w:pos="720"/>
        </w:tabs>
        <w:ind w:left="720" w:hanging="360"/>
      </w:pPr>
    </w:lvl>
    <w:lvl w:ilvl="1">
      <w:start w:val="16"/>
      <w:numFmt w:val="decimal"/>
      <w:lvlText w:val="%2."/>
      <w:lvlJc w:val="left"/>
      <w:pPr>
        <w:tabs>
          <w:tab w:val="num" w:pos="2184"/>
        </w:tabs>
        <w:ind w:left="2241" w:hanging="397"/>
      </w:pPr>
      <w:rPr>
        <w:sz w:val="24"/>
        <w:szCs w:val="24"/>
        <w:rFonts w:cs="Tahom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color w:val="00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6"/>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Fonts w:cs="Courier New"/>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Fonts w:cs="Courier New"/>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Fonts w:cs="Courier New"/>
      </w:rPr>
    </w:lvl>
    <w:lvl w:ilvl="8">
      <w:start w:val="1"/>
      <w:numFmt w:val="bullet"/>
      <w:lvlText w:val=""/>
      <w:lvlJc w:val="left"/>
      <w:pPr>
        <w:ind w:left="7756" w:hanging="360"/>
      </w:pPr>
      <w:rPr>
        <w:rFonts w:ascii="Wingdings" w:hAnsi="Wingdings" w:cs="Wingdings" w:hint="default"/>
      </w:rPr>
    </w:lvl>
  </w:abstractNum>
  <w:abstractNum w:abstractNumId="12">
    <w:lvl w:ilvl="0">
      <w:start w:val="21"/>
      <w:numFmt w:val="decimal"/>
      <w:lvlText w:val="%1."/>
      <w:lvlJc w:val="left"/>
      <w:pPr>
        <w:ind w:left="525" w:hanging="525"/>
      </w:pPr>
    </w:lvl>
    <w:lvl w:ilvl="1">
      <w:start w:val="1"/>
      <w:numFmt w:val="decimal"/>
      <w:lvlText w:val="%1.%2."/>
      <w:lvlJc w:val="left"/>
      <w:pPr>
        <w:ind w:left="720" w:hanging="720"/>
      </w:pPr>
      <w:rPr>
        <w:sz w:val="22"/>
        <w:szCs w:val="24"/>
        <w:rFonts w:ascii="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uiPriority="0" w:semiHidden="0" w:unhideWhenUsed="0" w:qFormat="1"/>
    <w:lsdException w:name="Default Paragraph Font" w:uiPriority="1"/>
    <w:lsdException w:name="Body Text" w:uiPriority="0"/>
    <w:lsdException w:name="Body Text Indent" w:uiPriority="0"/>
    <w:lsdException w:name="List Continue 2" w:uiPriority="0"/>
    <w:lsdException w:name="Subtitle" w:uiPriority="0"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uiPriority="22" w:semiHidden="0" w:unhideWhenUsed="0" w:qFormat="1"/>
    <w:lsdException w:name="Emphasis" w:uiPriority="0" w:semiHidden="0" w:unhideWhenUsed="0" w:qFormat="1"/>
    <w:lsdException w:name="Plain Text" w:uiPriority="0"/>
    <w:lsdException w:name="annotation subjec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5332"/>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paragraph" w:styleId="Nagwek1">
    <w:name w:val="Heading 1"/>
    <w:basedOn w:val="Normal"/>
    <w:link w:val="Nagwek1Znak"/>
    <w:qFormat/>
    <w:rsid w:val="00015332"/>
    <w:pPr>
      <w:keepNext w:val="true"/>
      <w:spacing w:before="240" w:after="60"/>
      <w:jc w:val="both"/>
      <w:outlineLvl w:val="0"/>
    </w:pPr>
    <w:rPr>
      <w:b/>
      <w:bCs/>
      <w:sz w:val="25"/>
      <w:szCs w:val="25"/>
    </w:rPr>
  </w:style>
  <w:style w:type="paragraph" w:styleId="Nagwek2">
    <w:name w:val="Heading 2"/>
    <w:basedOn w:val="Normal"/>
    <w:link w:val="Nagwek2Znak"/>
    <w:qFormat/>
    <w:rsid w:val="00015332"/>
    <w:pPr>
      <w:keepNext w:val="true"/>
      <w:jc w:val="both"/>
      <w:outlineLvl w:val="1"/>
    </w:pPr>
    <w:rPr/>
  </w:style>
  <w:style w:type="paragraph" w:styleId="Nagwek3">
    <w:name w:val="Heading 3"/>
    <w:basedOn w:val="Normal"/>
    <w:link w:val="Nagwek3Znak"/>
    <w:qFormat/>
    <w:rsid w:val="00015332"/>
    <w:pPr>
      <w:keepNext w:val="true"/>
      <w:outlineLvl w:val="2"/>
    </w:pPr>
    <w:rPr>
      <w:i/>
      <w:iCs/>
    </w:rPr>
  </w:style>
  <w:style w:type="paragraph" w:styleId="Nagwek4">
    <w:name w:val="Heading 4"/>
    <w:basedOn w:val="Normal"/>
    <w:link w:val="Nagwek4Znak"/>
    <w:qFormat/>
    <w:rsid w:val="00015332"/>
    <w:pPr>
      <w:keepNext w:val="true"/>
      <w:spacing w:before="120" w:after="0"/>
      <w:jc w:val="both"/>
      <w:outlineLvl w:val="3"/>
    </w:pPr>
    <w:rPr>
      <w:i/>
      <w:iCs/>
    </w:rPr>
  </w:style>
  <w:style w:type="paragraph" w:styleId="Nagwek5">
    <w:name w:val="Heading 5"/>
    <w:basedOn w:val="Normal"/>
    <w:link w:val="Nagwek5Znak"/>
    <w:qFormat/>
    <w:rsid w:val="00015332"/>
    <w:pPr>
      <w:keepNext w:val="true"/>
      <w:snapToGrid w:val="false"/>
      <w:jc w:val="center"/>
      <w:outlineLvl w:val="4"/>
    </w:pPr>
    <w:rPr>
      <w:i/>
      <w:iCs/>
      <w:sz w:val="20"/>
      <w:szCs w:val="20"/>
    </w:rPr>
  </w:style>
  <w:style w:type="paragraph" w:styleId="Nagwek6">
    <w:name w:val="Heading 6"/>
    <w:basedOn w:val="Normal"/>
    <w:link w:val="Nagwek6Znak"/>
    <w:qFormat/>
    <w:rsid w:val="00015332"/>
    <w:pPr>
      <w:spacing w:before="120" w:after="0"/>
      <w:jc w:val="center"/>
      <w:outlineLvl w:val="5"/>
    </w:pPr>
    <w:rPr>
      <w:rFonts w:ascii="Arial" w:hAnsi="Arial" w:cs="Arial"/>
      <w:b/>
      <w:bCs/>
    </w:rPr>
  </w:style>
  <w:style w:type="paragraph" w:styleId="Nagwek7">
    <w:name w:val="Heading 7"/>
    <w:basedOn w:val="Normal"/>
    <w:link w:val="Nagwek7Znak"/>
    <w:qFormat/>
    <w:rsid w:val="00015332"/>
    <w:pPr>
      <w:keepNext w:val="true"/>
      <w:jc w:val="both"/>
      <w:outlineLvl w:val="6"/>
    </w:pPr>
    <w:rPr>
      <w:b/>
      <w:bCs/>
    </w:rPr>
  </w:style>
  <w:style w:type="paragraph" w:styleId="Nagwek8">
    <w:name w:val="Heading 8"/>
    <w:basedOn w:val="Normal"/>
    <w:link w:val="Nagwek8Znak"/>
    <w:qFormat/>
    <w:rsid w:val="00015332"/>
    <w:pPr>
      <w:keepNext w:val="true"/>
      <w:numPr>
        <w:ilvl w:val="0"/>
        <w:numId w:val="1"/>
      </w:numPr>
      <w:jc w:val="right"/>
      <w:outlineLvl w:val="0"/>
    </w:pPr>
    <w:rPr>
      <w:rFonts w:ascii="Arial" w:hAnsi="Arial" w:cs="Arial"/>
    </w:rPr>
  </w:style>
  <w:style w:type="paragraph" w:styleId="Nagwek9">
    <w:name w:val="Heading 9"/>
    <w:basedOn w:val="Normal"/>
    <w:link w:val="Nagwek9Znak"/>
    <w:qFormat/>
    <w:rsid w:val="00015332"/>
    <w:pPr>
      <w:keepNext w:val="true"/>
      <w:ind w:left="3780" w:hanging="0"/>
      <w:jc w:val="both"/>
      <w:outlineLvl w:val="8"/>
    </w:pPr>
    <w:rPr>
      <w:b/>
      <w:bCs/>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015332"/>
    <w:rPr>
      <w:rFonts w:ascii="Times New Roman" w:hAnsi="Times New Roman" w:eastAsia="Times New Roman" w:cs="Times New Roman"/>
      <w:b/>
      <w:bCs/>
      <w:sz w:val="25"/>
      <w:szCs w:val="25"/>
      <w:lang w:eastAsia="pl-PL"/>
    </w:rPr>
  </w:style>
  <w:style w:type="character" w:styleId="Nagwek2Znak" w:customStyle="1">
    <w:name w:val="Nagłówek 2 Znak"/>
    <w:basedOn w:val="DefaultParagraphFont"/>
    <w:link w:val="Nagwek2"/>
    <w:qFormat/>
    <w:rsid w:val="00015332"/>
    <w:rPr>
      <w:rFonts w:ascii="Times New Roman" w:hAnsi="Times New Roman" w:eastAsia="Times New Roman" w:cs="Times New Roman"/>
      <w:sz w:val="24"/>
      <w:szCs w:val="24"/>
      <w:lang w:eastAsia="pl-PL"/>
    </w:rPr>
  </w:style>
  <w:style w:type="character" w:styleId="Nagwek3Znak" w:customStyle="1">
    <w:name w:val="Nagłówek 3 Znak"/>
    <w:basedOn w:val="DefaultParagraphFont"/>
    <w:link w:val="Nagwek3"/>
    <w:qFormat/>
    <w:rsid w:val="00015332"/>
    <w:rPr>
      <w:rFonts w:ascii="Times New Roman" w:hAnsi="Times New Roman" w:eastAsia="Times New Roman" w:cs="Times New Roman"/>
      <w:i/>
      <w:iCs/>
      <w:sz w:val="24"/>
      <w:szCs w:val="24"/>
      <w:lang w:eastAsia="pl-PL"/>
    </w:rPr>
  </w:style>
  <w:style w:type="character" w:styleId="Nagwek4Znak" w:customStyle="1">
    <w:name w:val="Nagłówek 4 Znak"/>
    <w:basedOn w:val="DefaultParagraphFont"/>
    <w:link w:val="Nagwek4"/>
    <w:qFormat/>
    <w:rsid w:val="00015332"/>
    <w:rPr>
      <w:rFonts w:ascii="Times New Roman" w:hAnsi="Times New Roman" w:eastAsia="Times New Roman" w:cs="Times New Roman"/>
      <w:i/>
      <w:iCs/>
      <w:sz w:val="24"/>
      <w:szCs w:val="24"/>
      <w:lang w:eastAsia="pl-PL"/>
    </w:rPr>
  </w:style>
  <w:style w:type="character" w:styleId="Nagwek5Znak" w:customStyle="1">
    <w:name w:val="Nagłówek 5 Znak"/>
    <w:basedOn w:val="DefaultParagraphFont"/>
    <w:link w:val="Nagwek5"/>
    <w:qFormat/>
    <w:rsid w:val="00015332"/>
    <w:rPr>
      <w:rFonts w:ascii="Times New Roman" w:hAnsi="Times New Roman" w:eastAsia="Times New Roman" w:cs="Times New Roman"/>
      <w:i/>
      <w:iCs/>
      <w:sz w:val="20"/>
      <w:szCs w:val="20"/>
      <w:lang w:eastAsia="pl-PL"/>
    </w:rPr>
  </w:style>
  <w:style w:type="character" w:styleId="Nagwek6Znak" w:customStyle="1">
    <w:name w:val="Nagłówek 6 Znak"/>
    <w:basedOn w:val="DefaultParagraphFont"/>
    <w:link w:val="Nagwek6"/>
    <w:qFormat/>
    <w:rsid w:val="00015332"/>
    <w:rPr>
      <w:rFonts w:ascii="Arial" w:hAnsi="Arial" w:eastAsia="Times New Roman" w:cs="Arial"/>
      <w:b/>
      <w:bCs/>
      <w:sz w:val="24"/>
      <w:szCs w:val="24"/>
      <w:lang w:eastAsia="pl-PL"/>
    </w:rPr>
  </w:style>
  <w:style w:type="character" w:styleId="Nagwek7Znak" w:customStyle="1">
    <w:name w:val="Nagłówek 7 Znak"/>
    <w:basedOn w:val="DefaultParagraphFont"/>
    <w:link w:val="Nagwek7"/>
    <w:qFormat/>
    <w:rsid w:val="00015332"/>
    <w:rPr>
      <w:rFonts w:ascii="Times New Roman" w:hAnsi="Times New Roman" w:eastAsia="Times New Roman" w:cs="Times New Roman"/>
      <w:b/>
      <w:bCs/>
      <w:sz w:val="24"/>
      <w:szCs w:val="24"/>
      <w:lang w:eastAsia="pl-PL"/>
    </w:rPr>
  </w:style>
  <w:style w:type="character" w:styleId="Nagwek8Znak" w:customStyle="1">
    <w:name w:val="Nagłówek 8 Znak"/>
    <w:basedOn w:val="DefaultParagraphFont"/>
    <w:link w:val="Nagwek8"/>
    <w:qFormat/>
    <w:rsid w:val="00015332"/>
    <w:rPr>
      <w:rFonts w:ascii="Arial" w:hAnsi="Arial" w:eastAsia="Times New Roman" w:cs="Arial"/>
      <w:sz w:val="24"/>
      <w:szCs w:val="24"/>
      <w:lang w:eastAsia="pl-PL"/>
    </w:rPr>
  </w:style>
  <w:style w:type="character" w:styleId="Nagwek9Znak" w:customStyle="1">
    <w:name w:val="Nagłówek 9 Znak"/>
    <w:basedOn w:val="DefaultParagraphFont"/>
    <w:link w:val="Nagwek9"/>
    <w:qFormat/>
    <w:rsid w:val="00015332"/>
    <w:rPr>
      <w:rFonts w:ascii="Times New Roman" w:hAnsi="Times New Roman" w:eastAsia="Times New Roman" w:cs="Times New Roman"/>
      <w:b/>
      <w:bCs/>
      <w:sz w:val="24"/>
      <w:szCs w:val="24"/>
      <w:lang w:eastAsia="pl-PL"/>
    </w:rPr>
  </w:style>
  <w:style w:type="character" w:styleId="ZnakZnak21" w:customStyle="1">
    <w:name w:val="Znak Znak21"/>
    <w:qFormat/>
    <w:locked/>
    <w:rsid w:val="00015332"/>
    <w:rPr>
      <w:rFonts w:ascii="Cambria" w:hAnsi="Cambria" w:cs="Cambria"/>
      <w:b/>
      <w:bCs/>
      <w:kern w:val="2"/>
      <w:sz w:val="32"/>
      <w:szCs w:val="32"/>
    </w:rPr>
  </w:style>
  <w:style w:type="character" w:styleId="NagwekZnak" w:customStyle="1">
    <w:name w:val="Nagłówek Znak"/>
    <w:basedOn w:val="DefaultParagraphFont"/>
    <w:link w:val="Nagwek"/>
    <w:uiPriority w:val="99"/>
    <w:qFormat/>
    <w:rsid w:val="00015332"/>
    <w:rPr>
      <w:rFonts w:ascii="Times New Roman" w:hAnsi="Times New Roman" w:eastAsia="Times New Roman" w:cs="Times New Roman"/>
      <w:sz w:val="24"/>
      <w:szCs w:val="24"/>
      <w:lang w:eastAsia="pl-PL"/>
    </w:rPr>
  </w:style>
  <w:style w:type="character" w:styleId="ZnakZnak12" w:customStyle="1">
    <w:name w:val="Znak Znak12"/>
    <w:qFormat/>
    <w:locked/>
    <w:rsid w:val="00015332"/>
    <w:rPr>
      <w:sz w:val="24"/>
      <w:szCs w:val="24"/>
      <w:lang w:val="pl-PL" w:eastAsia="pl-PL"/>
    </w:rPr>
  </w:style>
  <w:style w:type="character" w:styleId="StopkaZnak" w:customStyle="1">
    <w:name w:val="Stopka Znak"/>
    <w:basedOn w:val="DefaultParagraphFont"/>
    <w:link w:val="Stopka"/>
    <w:uiPriority w:val="99"/>
    <w:qFormat/>
    <w:rsid w:val="00015332"/>
    <w:rPr>
      <w:rFonts w:ascii="Times New Roman" w:hAnsi="Times New Roman" w:eastAsia="Times New Roman" w:cs="Times New Roman"/>
      <w:sz w:val="20"/>
      <w:szCs w:val="20"/>
      <w:lang w:eastAsia="pl-PL"/>
    </w:rPr>
  </w:style>
  <w:style w:type="character" w:styleId="ZnakZnak11" w:customStyle="1">
    <w:name w:val="Znak Znak11"/>
    <w:basedOn w:val="DefaultParagraphFont"/>
    <w:qFormat/>
    <w:locked/>
    <w:rsid w:val="00015332"/>
    <w:rPr/>
  </w:style>
  <w:style w:type="character" w:styleId="TytuZnak" w:customStyle="1">
    <w:name w:val="Tytuł Znak"/>
    <w:basedOn w:val="DefaultParagraphFont"/>
    <w:link w:val="Tytu"/>
    <w:qFormat/>
    <w:rsid w:val="00015332"/>
    <w:rPr>
      <w:rFonts w:ascii="Times New Roman" w:hAnsi="Times New Roman" w:eastAsia="Times New Roman" w:cs="Times New Roman"/>
      <w:sz w:val="28"/>
      <w:szCs w:val="28"/>
      <w:lang w:eastAsia="pl-PL"/>
    </w:rPr>
  </w:style>
  <w:style w:type="character" w:styleId="ZnakZnak10" w:customStyle="1">
    <w:name w:val="Znak Znak10"/>
    <w:qFormat/>
    <w:locked/>
    <w:rsid w:val="00015332"/>
    <w:rPr>
      <w:sz w:val="24"/>
      <w:szCs w:val="24"/>
    </w:rPr>
  </w:style>
  <w:style w:type="character" w:styleId="TekstpodstawowyZnak" w:customStyle="1">
    <w:name w:val="Tekst podstawowy Znak"/>
    <w:basedOn w:val="DefaultParagraphFont"/>
    <w:link w:val="Tekstpodstawowy"/>
    <w:semiHidden/>
    <w:qFormat/>
    <w:rsid w:val="00015332"/>
    <w:rPr>
      <w:rFonts w:ascii="Arial" w:hAnsi="Arial" w:eastAsia="Times New Roman" w:cs="Arial"/>
      <w:sz w:val="24"/>
      <w:szCs w:val="24"/>
      <w:lang w:eastAsia="pl-PL"/>
    </w:rPr>
  </w:style>
  <w:style w:type="character" w:styleId="TekstpodstawowywcityZnak" w:customStyle="1">
    <w:name w:val="Tekst podstawowy wcięty Znak"/>
    <w:basedOn w:val="DefaultParagraphFont"/>
    <w:link w:val="Tekstpodstawowywcity"/>
    <w:semiHidden/>
    <w:qFormat/>
    <w:rsid w:val="00015332"/>
    <w:rPr>
      <w:rFonts w:ascii="Times New Roman" w:hAnsi="Times New Roman" w:eastAsia="Times New Roman" w:cs="Times New Roman"/>
      <w:sz w:val="32"/>
      <w:szCs w:val="32"/>
      <w:lang w:eastAsia="pl-PL"/>
    </w:rPr>
  </w:style>
  <w:style w:type="character" w:styleId="Tekstpodstawowy2Znak" w:customStyle="1">
    <w:name w:val="Tekst podstawowy 2 Znak"/>
    <w:basedOn w:val="DefaultParagraphFont"/>
    <w:link w:val="Tekstpodstawowy2"/>
    <w:semiHidden/>
    <w:qFormat/>
    <w:rsid w:val="00015332"/>
    <w:rPr>
      <w:rFonts w:ascii="Times New Roman" w:hAnsi="Times New Roman" w:eastAsia="Times New Roman" w:cs="Times New Roman"/>
      <w:b/>
      <w:bCs/>
      <w:sz w:val="25"/>
      <w:szCs w:val="25"/>
      <w:lang w:eastAsia="pl-PL"/>
    </w:rPr>
  </w:style>
  <w:style w:type="character" w:styleId="Tekstpodstawowy3Znak" w:customStyle="1">
    <w:name w:val="Tekst podstawowy 3 Znak"/>
    <w:basedOn w:val="DefaultParagraphFont"/>
    <w:link w:val="Tekstpodstawowy3"/>
    <w:semiHidden/>
    <w:qFormat/>
    <w:rsid w:val="00015332"/>
    <w:rPr>
      <w:rFonts w:ascii="Times New Roman" w:hAnsi="Times New Roman" w:eastAsia="Times New Roman" w:cs="Times New Roman"/>
      <w:i/>
      <w:iCs/>
      <w:sz w:val="24"/>
      <w:szCs w:val="24"/>
      <w:lang w:eastAsia="pl-PL"/>
    </w:rPr>
  </w:style>
  <w:style w:type="character" w:styleId="Tekstpodstawowywcity2Znak" w:customStyle="1">
    <w:name w:val="Tekst podstawowy wcięty 2 Znak"/>
    <w:basedOn w:val="DefaultParagraphFont"/>
    <w:link w:val="Tekstpodstawowywcity2"/>
    <w:semiHidden/>
    <w:qFormat/>
    <w:rsid w:val="00015332"/>
    <w:rPr>
      <w:rFonts w:ascii="Times New Roman" w:hAnsi="Times New Roman" w:eastAsia="Times New Roman" w:cs="Times New Roman"/>
      <w:b/>
      <w:bCs/>
      <w:i/>
      <w:iCs/>
      <w:sz w:val="24"/>
      <w:szCs w:val="24"/>
      <w:lang w:eastAsia="pl-PL"/>
    </w:rPr>
  </w:style>
  <w:style w:type="character" w:styleId="Tekstpodstawowywcity3Znak" w:customStyle="1">
    <w:name w:val="Tekst podstawowy wcięty 3 Znak"/>
    <w:basedOn w:val="DefaultParagraphFont"/>
    <w:link w:val="Tekstpodstawowywcity3"/>
    <w:semiHidden/>
    <w:qFormat/>
    <w:rsid w:val="00015332"/>
    <w:rPr>
      <w:rFonts w:ascii="Times New Roman" w:hAnsi="Times New Roman" w:eastAsia="Times New Roman" w:cs="Times New Roman"/>
      <w:lang w:eastAsia="pl-PL"/>
    </w:rPr>
  </w:style>
  <w:style w:type="character" w:styleId="ZwykytekstZnak" w:customStyle="1">
    <w:name w:val="Zwykły tekst Znak"/>
    <w:basedOn w:val="DefaultParagraphFont"/>
    <w:link w:val="Zwykytekst"/>
    <w:qFormat/>
    <w:rsid w:val="00015332"/>
    <w:rPr>
      <w:rFonts w:ascii="Courier New" w:hAnsi="Courier New" w:eastAsia="Times New Roman" w:cs="Courier New"/>
      <w:sz w:val="20"/>
      <w:szCs w:val="20"/>
      <w:lang w:eastAsia="pl-PL"/>
    </w:rPr>
  </w:style>
  <w:style w:type="character" w:styleId="PlainTextChar" w:customStyle="1">
    <w:name w:val="Plain Text Char"/>
    <w:qFormat/>
    <w:locked/>
    <w:rsid w:val="00015332"/>
    <w:rPr>
      <w:rFonts w:ascii="Courier New" w:hAnsi="Courier New" w:cs="Courier New"/>
      <w:lang w:val="pl-PL" w:eastAsia="pl-PL"/>
    </w:rPr>
  </w:style>
  <w:style w:type="character" w:styleId="Tekstdokbold" w:customStyle="1">
    <w:name w:val="tekst dok. bold"/>
    <w:qFormat/>
    <w:rsid w:val="00015332"/>
    <w:rPr>
      <w:b/>
      <w:bCs/>
    </w:rPr>
  </w:style>
  <w:style w:type="character" w:styleId="Strong">
    <w:name w:val="Strong"/>
    <w:uiPriority w:val="22"/>
    <w:qFormat/>
    <w:rsid w:val="00015332"/>
    <w:rPr>
      <w:b/>
      <w:bCs/>
    </w:rPr>
  </w:style>
  <w:style w:type="character" w:styleId="Wyrnienie">
    <w:name w:val="Wyróżnienie"/>
    <w:qFormat/>
    <w:rsid w:val="00015332"/>
    <w:rPr>
      <w:i/>
      <w:iCs/>
    </w:rPr>
  </w:style>
  <w:style w:type="character" w:styleId="TekstdymkaZnak" w:customStyle="1">
    <w:name w:val="Tekst dymka Znak"/>
    <w:basedOn w:val="DefaultParagraphFont"/>
    <w:link w:val="Tekstdymka"/>
    <w:semiHidden/>
    <w:qFormat/>
    <w:rsid w:val="00015332"/>
    <w:rPr>
      <w:rFonts w:ascii="Tahoma" w:hAnsi="Tahoma" w:eastAsia="Times New Roman" w:cs="Tahoma"/>
      <w:sz w:val="16"/>
      <w:szCs w:val="16"/>
      <w:lang w:eastAsia="pl-PL"/>
    </w:rPr>
  </w:style>
  <w:style w:type="character" w:styleId="Annotationreference">
    <w:name w:val="annotation reference"/>
    <w:qFormat/>
    <w:rsid w:val="00015332"/>
    <w:rPr>
      <w:sz w:val="16"/>
      <w:szCs w:val="16"/>
    </w:rPr>
  </w:style>
  <w:style w:type="character" w:styleId="TekstkomentarzaZnak" w:customStyle="1">
    <w:name w:val="Tekst komentarza Znak"/>
    <w:basedOn w:val="DefaultParagraphFont"/>
    <w:link w:val="Tekstkomentarza"/>
    <w:semiHidden/>
    <w:qFormat/>
    <w:rsid w:val="00015332"/>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semiHidden/>
    <w:qFormat/>
    <w:rsid w:val="00015332"/>
    <w:rPr>
      <w:rFonts w:ascii="Times New Roman" w:hAnsi="Times New Roman" w:eastAsia="Times New Roman" w:cs="Times New Roman"/>
      <w:b/>
      <w:bCs/>
      <w:sz w:val="20"/>
      <w:szCs w:val="20"/>
      <w:lang w:eastAsia="pl-PL"/>
    </w:rPr>
  </w:style>
  <w:style w:type="character" w:styleId="A2Znak" w:customStyle="1">
    <w:name w:val="a2 Znak"/>
    <w:qFormat/>
    <w:rsid w:val="00015332"/>
    <w:rPr>
      <w:rFonts w:ascii="Arial" w:hAnsi="Arial" w:cs="Arial"/>
      <w:sz w:val="24"/>
      <w:szCs w:val="24"/>
      <w:lang w:val="pl-PL" w:eastAsia="pl-PL"/>
    </w:rPr>
  </w:style>
  <w:style w:type="character" w:styleId="TekstprzypisudolnegoZnak" w:customStyle="1">
    <w:name w:val="Tekst przypisu dolnego Znak"/>
    <w:basedOn w:val="DefaultParagraphFont"/>
    <w:link w:val="Tekstprzypisudolnego"/>
    <w:qFormat/>
    <w:rsid w:val="00015332"/>
    <w:rPr>
      <w:rFonts w:ascii="Times New Roman" w:hAnsi="Times New Roman" w:eastAsia="Times New Roman" w:cs="Times New Roman"/>
      <w:sz w:val="20"/>
      <w:szCs w:val="20"/>
      <w:lang w:eastAsia="pl-PL"/>
    </w:rPr>
  </w:style>
  <w:style w:type="character" w:styleId="Zakotwiczenieprzypisudolnego">
    <w:name w:val="Zakotwiczenie przypisu dolnego"/>
    <w:rPr>
      <w:vertAlign w:val="superscript"/>
    </w:rPr>
  </w:style>
  <w:style w:type="character" w:styleId="FootnoteCharacters">
    <w:name w:val="Footnote Characters"/>
    <w:qFormat/>
    <w:rsid w:val="00015332"/>
    <w:rPr>
      <w:vertAlign w:val="superscript"/>
    </w:rPr>
  </w:style>
  <w:style w:type="character" w:styleId="Czeinternetowe">
    <w:name w:val="Łącze internetowe"/>
    <w:rsid w:val="00015332"/>
    <w:rPr>
      <w:color w:val="0000FF"/>
      <w:u w:val="single"/>
    </w:rPr>
  </w:style>
  <w:style w:type="character" w:styleId="FontStyle75" w:customStyle="1">
    <w:name w:val="Font Style75"/>
    <w:qFormat/>
    <w:rsid w:val="00015332"/>
    <w:rPr>
      <w:rFonts w:ascii="Times New Roman" w:hAnsi="Times New Roman" w:cs="Times New Roman"/>
      <w:b/>
      <w:bCs/>
      <w:sz w:val="26"/>
      <w:szCs w:val="26"/>
    </w:rPr>
  </w:style>
  <w:style w:type="character" w:styleId="FontStyle77" w:customStyle="1">
    <w:name w:val="Font Style77"/>
    <w:qFormat/>
    <w:rsid w:val="00015332"/>
    <w:rPr>
      <w:rFonts w:ascii="Times New Roman" w:hAnsi="Times New Roman" w:cs="Times New Roman"/>
      <w:sz w:val="18"/>
      <w:szCs w:val="18"/>
    </w:rPr>
  </w:style>
  <w:style w:type="character" w:styleId="FontStyle78" w:customStyle="1">
    <w:name w:val="Font Style78"/>
    <w:qFormat/>
    <w:rsid w:val="00015332"/>
    <w:rPr>
      <w:rFonts w:ascii="Times New Roman" w:hAnsi="Times New Roman" w:cs="Times New Roman"/>
      <w:b/>
      <w:bCs/>
      <w:sz w:val="18"/>
      <w:szCs w:val="18"/>
    </w:rPr>
  </w:style>
  <w:style w:type="character" w:styleId="FontStyle80" w:customStyle="1">
    <w:name w:val="Font Style80"/>
    <w:qFormat/>
    <w:rsid w:val="00015332"/>
    <w:rPr>
      <w:rFonts w:ascii="Times New Roman" w:hAnsi="Times New Roman" w:cs="Times New Roman"/>
      <w:i/>
      <w:iCs/>
      <w:sz w:val="18"/>
      <w:szCs w:val="18"/>
    </w:rPr>
  </w:style>
  <w:style w:type="character" w:styleId="FontStyle81" w:customStyle="1">
    <w:name w:val="Font Style81"/>
    <w:qFormat/>
    <w:rsid w:val="00015332"/>
    <w:rPr>
      <w:rFonts w:ascii="Times New Roman" w:hAnsi="Times New Roman" w:cs="Times New Roman"/>
      <w:sz w:val="22"/>
      <w:szCs w:val="22"/>
    </w:rPr>
  </w:style>
  <w:style w:type="character" w:styleId="FontStyle82" w:customStyle="1">
    <w:name w:val="Font Style82"/>
    <w:qFormat/>
    <w:rsid w:val="00015332"/>
    <w:rPr>
      <w:rFonts w:ascii="Times New Roman" w:hAnsi="Times New Roman" w:cs="Times New Roman"/>
      <w:b/>
      <w:bCs/>
      <w:sz w:val="22"/>
      <w:szCs w:val="22"/>
    </w:rPr>
  </w:style>
  <w:style w:type="character" w:styleId="FontStyle83" w:customStyle="1">
    <w:name w:val="Font Style83"/>
    <w:qFormat/>
    <w:rsid w:val="00015332"/>
    <w:rPr>
      <w:rFonts w:ascii="Times New Roman" w:hAnsi="Times New Roman" w:cs="Times New Roman"/>
      <w:b/>
      <w:bCs/>
      <w:sz w:val="22"/>
      <w:szCs w:val="22"/>
    </w:rPr>
  </w:style>
  <w:style w:type="character" w:styleId="ZnakZnak4" w:customStyle="1">
    <w:name w:val="Znak Znak4"/>
    <w:qFormat/>
    <w:locked/>
    <w:rsid w:val="00015332"/>
    <w:rPr>
      <w:rFonts w:ascii="Courier New" w:hAnsi="Courier New" w:cs="Courier New"/>
      <w:lang w:val="pl-PL" w:eastAsia="pl-PL"/>
    </w:rPr>
  </w:style>
  <w:style w:type="character" w:styleId="TekstprzypisukocowegoZnak" w:customStyle="1">
    <w:name w:val="Tekst przypisu końcowego Znak"/>
    <w:basedOn w:val="DefaultParagraphFont"/>
    <w:link w:val="Tekstprzypisukocowego"/>
    <w:semiHidden/>
    <w:qFormat/>
    <w:rsid w:val="00015332"/>
    <w:rPr>
      <w:rFonts w:ascii="Times New Roman" w:hAnsi="Times New Roman" w:eastAsia="Times New Roman" w:cs="Times New Roman"/>
      <w:sz w:val="20"/>
      <w:szCs w:val="20"/>
      <w:lang w:eastAsia="pl-PL"/>
    </w:rPr>
  </w:style>
  <w:style w:type="character" w:styleId="AkapitzlistZnak" w:customStyle="1">
    <w:name w:val="Akapit z listą Znak"/>
    <w:link w:val="Akapitzlist"/>
    <w:uiPriority w:val="34"/>
    <w:qFormat/>
    <w:rsid w:val="00015332"/>
    <w:rPr>
      <w:rFonts w:ascii="Arial" w:hAnsi="Arial" w:eastAsia="Times New Roman" w:cs="Arial"/>
    </w:rPr>
  </w:style>
  <w:style w:type="character" w:styleId="FontStyle158" w:customStyle="1">
    <w:name w:val="Font Style158"/>
    <w:uiPriority w:val="99"/>
    <w:qFormat/>
    <w:rsid w:val="00015332"/>
    <w:rPr>
      <w:rFonts w:ascii="Verdana" w:hAnsi="Verdana" w:cs="Verdana"/>
      <w:b/>
      <w:bCs/>
      <w:sz w:val="14"/>
      <w:szCs w:val="14"/>
    </w:rPr>
  </w:style>
  <w:style w:type="character" w:styleId="FontStyle184" w:customStyle="1">
    <w:name w:val="Font Style184"/>
    <w:uiPriority w:val="99"/>
    <w:qFormat/>
    <w:rsid w:val="00015332"/>
    <w:rPr>
      <w:rFonts w:ascii="Verdana" w:hAnsi="Verdana" w:cs="Verdana"/>
      <w:sz w:val="14"/>
      <w:szCs w:val="14"/>
    </w:rPr>
  </w:style>
  <w:style w:type="character" w:styleId="PodtytuZnak" w:customStyle="1">
    <w:name w:val="Podtytuł Znak"/>
    <w:basedOn w:val="DefaultParagraphFont"/>
    <w:link w:val="Podtytu"/>
    <w:qFormat/>
    <w:rsid w:val="00015332"/>
    <w:rPr>
      <w:rFonts w:ascii="Arial" w:hAnsi="Arial" w:eastAsia="DejaVu Sans" w:cs="DejaVu Sans"/>
      <w:i/>
      <w:iCs/>
      <w:sz w:val="28"/>
      <w:szCs w:val="28"/>
      <w:lang w:eastAsia="ar-SA"/>
    </w:rPr>
  </w:style>
  <w:style w:type="character" w:styleId="SubtleEmphasis">
    <w:name w:val="Subtle Emphasis"/>
    <w:uiPriority w:val="19"/>
    <w:qFormat/>
    <w:rsid w:val="00015332"/>
    <w:rPr>
      <w:i/>
      <w:iCs/>
      <w:color w:val="808080"/>
    </w:rPr>
  </w:style>
  <w:style w:type="character" w:styleId="BezodstpwZnak" w:customStyle="1">
    <w:name w:val="Bez odstępów Znak"/>
    <w:basedOn w:val="DefaultParagraphFont"/>
    <w:link w:val="Bezodstpw"/>
    <w:uiPriority w:val="1"/>
    <w:qFormat/>
    <w:rsid w:val="00752377"/>
    <w:rPr>
      <w:rFonts w:eastAsia="" w:eastAsiaTheme="minorEastAsia"/>
    </w:rPr>
  </w:style>
  <w:style w:type="character" w:styleId="ListLabel1">
    <w:name w:val="ListLabel 1"/>
    <w:qFormat/>
    <w:rPr>
      <w:b/>
      <w:bCs w:val="false"/>
      <w:i w:val="false"/>
    </w:rPr>
  </w:style>
  <w:style w:type="character" w:styleId="ListLabel2">
    <w:name w:val="ListLabel 2"/>
    <w:qFormat/>
    <w:rPr>
      <w:b w:val="false"/>
    </w:rPr>
  </w:style>
  <w:style w:type="character" w:styleId="ListLabel3">
    <w:name w:val="ListLabel 3"/>
    <w:qFormat/>
    <w:rPr>
      <w:b w:val="false"/>
    </w:rPr>
  </w:style>
  <w:style w:type="character" w:styleId="ListLabel4">
    <w:name w:val="ListLabel 4"/>
    <w:qFormat/>
    <w:rPr>
      <w:b/>
    </w:rPr>
  </w:style>
  <w:style w:type="character" w:styleId="ListLabel5">
    <w:name w:val="ListLabel 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sz w:val="23"/>
    </w:rPr>
  </w:style>
  <w:style w:type="character" w:styleId="ListLabel18">
    <w:name w:val="ListLabel 18"/>
    <w:qFormat/>
    <w:rPr>
      <w:sz w:val="20"/>
      <w:szCs w:val="20"/>
    </w:rPr>
  </w:style>
  <w:style w:type="character" w:styleId="ListLabel19">
    <w:name w:val="ListLabel 19"/>
    <w:qFormat/>
    <w:rPr>
      <w:sz w:val="23"/>
    </w:rPr>
  </w:style>
  <w:style w:type="character" w:styleId="ListLabel20">
    <w:name w:val="ListLabel 20"/>
    <w:qFormat/>
    <w:rPr>
      <w:sz w:val="23"/>
    </w:rPr>
  </w:style>
  <w:style w:type="character" w:styleId="ListLabel21">
    <w:name w:val="ListLabel 21"/>
    <w:qFormat/>
    <w:rPr>
      <w:sz w:val="23"/>
    </w:rPr>
  </w:style>
  <w:style w:type="character" w:styleId="ListLabel22">
    <w:name w:val="ListLabel 22"/>
    <w:qFormat/>
    <w:rPr>
      <w:sz w:val="23"/>
    </w:rPr>
  </w:style>
  <w:style w:type="character" w:styleId="ListLabel23">
    <w:name w:val="ListLabel 23"/>
    <w:qFormat/>
    <w:rPr>
      <w:sz w:val="23"/>
    </w:rPr>
  </w:style>
  <w:style w:type="character" w:styleId="ListLabel24">
    <w:name w:val="ListLabel 24"/>
    <w:qFormat/>
    <w:rPr>
      <w:sz w:val="23"/>
    </w:rPr>
  </w:style>
  <w:style w:type="character" w:styleId="ListLabel25">
    <w:name w:val="ListLabel 25"/>
    <w:qFormat/>
    <w:rPr>
      <w:sz w:val="23"/>
    </w:rPr>
  </w:style>
  <w:style w:type="character" w:styleId="ListLabel26">
    <w:name w:val="ListLabel 26"/>
    <w:qFormat/>
    <w:rPr>
      <w:b/>
      <w:color w:val="00000A"/>
      <w:sz w:val="22"/>
    </w:rPr>
  </w:style>
  <w:style w:type="character" w:styleId="ListLabel27">
    <w:name w:val="ListLabel 27"/>
    <w:qFormat/>
    <w:rPr>
      <w:rFonts w:cs="Tahoma"/>
      <w:sz w:val="24"/>
      <w:szCs w:val="24"/>
    </w:rPr>
  </w:style>
  <w:style w:type="character" w:styleId="ListLabel28">
    <w:name w:val="ListLabel 28"/>
    <w:qFormat/>
    <w:rPr>
      <w:color w:val="00000A"/>
    </w:rPr>
  </w:style>
  <w:style w:type="character" w:styleId="ListLabel29">
    <w:name w:val="ListLabel 29"/>
    <w:qFormat/>
    <w:rPr>
      <w:b w:val="false"/>
      <w:color w:val="00000A"/>
    </w:rPr>
  </w:style>
  <w:style w:type="character" w:styleId="ListLabel30">
    <w:name w:val="ListLabel 30"/>
    <w:qFormat/>
    <w:rPr>
      <w:color w:val="00000A"/>
    </w:rPr>
  </w:style>
  <w:style w:type="character" w:styleId="ListLabel31">
    <w:name w:val="ListLabel 31"/>
    <w:qFormat/>
    <w:rPr>
      <w:color w:val="00000A"/>
    </w:rPr>
  </w:style>
  <w:style w:type="character" w:styleId="ListLabel32">
    <w:name w:val="ListLabel 32"/>
    <w:qFormat/>
    <w:rPr>
      <w:color w:val="00000A"/>
    </w:rPr>
  </w:style>
  <w:style w:type="character" w:styleId="ListLabel33">
    <w:name w:val="ListLabel 33"/>
    <w:qFormat/>
    <w:rPr>
      <w:color w:val="00000A"/>
    </w:rPr>
  </w:style>
  <w:style w:type="character" w:styleId="ListLabel34">
    <w:name w:val="ListLabel 34"/>
    <w:qFormat/>
    <w:rPr>
      <w:color w:val="00000A"/>
    </w:rPr>
  </w:style>
  <w:style w:type="character" w:styleId="ListLabel35">
    <w:name w:val="ListLabel 35"/>
    <w:qFormat/>
    <w:rPr>
      <w:color w:val="00000A"/>
    </w:rPr>
  </w:style>
  <w:style w:type="character" w:styleId="ListLabel36">
    <w:name w:val="ListLabel 36"/>
    <w:qFormat/>
    <w:rPr>
      <w:color w:val="00000A"/>
    </w:rPr>
  </w:style>
  <w:style w:type="character" w:styleId="ListLabel37">
    <w:name w:val="ListLabel 37"/>
    <w:qFormat/>
    <w:rPr>
      <w:rFonts w:eastAsia="Times New Roman"/>
    </w:rPr>
  </w:style>
  <w:style w:type="character" w:styleId="ListLabel38">
    <w:name w:val="ListLabel 38"/>
    <w:qFormat/>
    <w:rPr>
      <w:color w:val="000000"/>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ascii="Times New Roman" w:hAnsi="Times New Roman" w:cs="Times New Roman"/>
      <w:sz w:val="22"/>
      <w:szCs w:val="24"/>
    </w:rPr>
  </w:style>
  <w:style w:type="character" w:styleId="ListLabel43">
    <w:name w:val="ListLabel 43"/>
    <w:qFormat/>
    <w:rPr>
      <w:b w:val="false"/>
      <w:sz w:val="24"/>
      <w:szCs w:val="24"/>
    </w:rPr>
  </w:style>
  <w:style w:type="character" w:styleId="ListLabel44">
    <w:name w:val="ListLabel 44"/>
    <w:qFormat/>
    <w:rPr>
      <w:rFonts w:cs="Tahoma"/>
      <w:b w:val="false"/>
      <w:bCs w:val="false"/>
      <w:sz w:val="24"/>
      <w:szCs w:val="24"/>
    </w:rPr>
  </w:style>
  <w:style w:type="character" w:styleId="ListLabel45">
    <w:name w:val="ListLabel 45"/>
    <w:qFormat/>
    <w:rPr>
      <w:rFonts w:eastAsia="Lucida Sans Unicode"/>
      <w:sz w:val="24"/>
    </w:rPr>
  </w:style>
  <w:style w:type="character" w:styleId="ListLabel46">
    <w:name w:val="ListLabel 46"/>
    <w:qFormat/>
    <w:rPr>
      <w:rFonts w:eastAsia="Lucida Sans Unicode"/>
      <w:sz w:val="24"/>
    </w:rPr>
  </w:style>
  <w:style w:type="character" w:styleId="ListLabel47">
    <w:name w:val="ListLabel 47"/>
    <w:qFormat/>
    <w:rPr>
      <w:rFonts w:eastAsia="Lucida Sans Unicode"/>
      <w:sz w:val="24"/>
    </w:rPr>
  </w:style>
  <w:style w:type="character" w:styleId="ListLabel48">
    <w:name w:val="ListLabel 48"/>
    <w:qFormat/>
    <w:rPr>
      <w:rFonts w:eastAsia="Lucida Sans Unicode"/>
      <w:sz w:val="24"/>
    </w:rPr>
  </w:style>
  <w:style w:type="character" w:styleId="ListLabel49">
    <w:name w:val="ListLabel 49"/>
    <w:qFormat/>
    <w:rPr>
      <w:rFonts w:eastAsia="Lucida Sans Unicode"/>
      <w:sz w:val="24"/>
    </w:rPr>
  </w:style>
  <w:style w:type="character" w:styleId="ListLabel50">
    <w:name w:val="ListLabel 50"/>
    <w:qFormat/>
    <w:rPr>
      <w:rFonts w:eastAsia="Lucida Sans Unicode"/>
      <w:sz w:val="24"/>
    </w:rPr>
  </w:style>
  <w:style w:type="character" w:styleId="ListLabel51">
    <w:name w:val="ListLabel 51"/>
    <w:qFormat/>
    <w:rPr>
      <w:rFonts w:eastAsia="Lucida Sans Unicode"/>
      <w:sz w:val="24"/>
    </w:rPr>
  </w:style>
  <w:style w:type="character" w:styleId="ListLabel52">
    <w:name w:val="ListLabel 52"/>
    <w:qFormat/>
    <w:rPr>
      <w:rFonts w:eastAsia="Lucida Sans Unicode"/>
      <w:sz w:val="24"/>
    </w:rPr>
  </w:style>
  <w:style w:type="character" w:styleId="ListLabel53">
    <w:name w:val="ListLabel 53"/>
    <w:qFormat/>
    <w:rPr>
      <w:rFonts w:eastAsia="Lucida Sans Unicode"/>
      <w:sz w:val="24"/>
    </w:rPr>
  </w:style>
  <w:style w:type="character" w:styleId="ListLabel54">
    <w:name w:val="ListLabel 54"/>
    <w:qFormat/>
    <w:rPr>
      <w:rFonts w:eastAsia="Calibri"/>
    </w:rPr>
  </w:style>
  <w:style w:type="character" w:styleId="ListLabel55">
    <w:name w:val="ListLabel 55"/>
    <w:qFormat/>
    <w:rPr>
      <w:sz w:val="22"/>
      <w:szCs w:val="22"/>
      <w:highlight w:val="whit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semiHidden/>
    <w:rsid w:val="00015332"/>
    <w:pPr/>
    <w:rPr>
      <w:rFonts w:ascii="Arial" w:hAnsi="Arial" w:cs="Aria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qFormat/>
    <w:rsid w:val="00015332"/>
    <w:pPr>
      <w:spacing w:beforeAutospacing="1" w:afterAutospacing="1"/>
      <w:jc w:val="both"/>
    </w:pPr>
    <w:rPr>
      <w:sz w:val="20"/>
      <w:szCs w:val="20"/>
    </w:rPr>
  </w:style>
  <w:style w:type="paragraph" w:styleId="Gwka">
    <w:name w:val="Header"/>
    <w:basedOn w:val="Normal"/>
    <w:link w:val="NagwekZnak"/>
    <w:uiPriority w:val="99"/>
    <w:rsid w:val="00015332"/>
    <w:pPr>
      <w:tabs>
        <w:tab w:val="center" w:pos="4536" w:leader="none"/>
        <w:tab w:val="right" w:pos="9072" w:leader="none"/>
      </w:tabs>
    </w:pPr>
    <w:rPr/>
  </w:style>
  <w:style w:type="paragraph" w:styleId="Stopka">
    <w:name w:val="Footer"/>
    <w:basedOn w:val="Normal"/>
    <w:link w:val="StopkaZnak"/>
    <w:uiPriority w:val="99"/>
    <w:rsid w:val="00015332"/>
    <w:pPr>
      <w:tabs>
        <w:tab w:val="center" w:pos="4536" w:leader="none"/>
        <w:tab w:val="right" w:pos="9072" w:leader="none"/>
      </w:tabs>
    </w:pPr>
    <w:rPr>
      <w:sz w:val="20"/>
      <w:szCs w:val="20"/>
    </w:rPr>
  </w:style>
  <w:style w:type="paragraph" w:styleId="Tytu">
    <w:name w:val="Title"/>
    <w:basedOn w:val="Normal"/>
    <w:link w:val="TytuZnak"/>
    <w:qFormat/>
    <w:rsid w:val="00015332"/>
    <w:pPr>
      <w:jc w:val="center"/>
    </w:pPr>
    <w:rPr>
      <w:sz w:val="28"/>
      <w:szCs w:val="28"/>
    </w:rPr>
  </w:style>
  <w:style w:type="paragraph" w:styleId="Wcicietrecitekstu">
    <w:name w:val="Body Text Indent"/>
    <w:basedOn w:val="Normal"/>
    <w:link w:val="TekstpodstawowywcityZnak"/>
    <w:semiHidden/>
    <w:rsid w:val="00015332"/>
    <w:pPr>
      <w:ind w:left="1416" w:hanging="0"/>
    </w:pPr>
    <w:rPr>
      <w:sz w:val="32"/>
      <w:szCs w:val="32"/>
    </w:rPr>
  </w:style>
  <w:style w:type="paragraph" w:styleId="BodyText2">
    <w:name w:val="Body Text 2"/>
    <w:basedOn w:val="Normal"/>
    <w:link w:val="Tekstpodstawowy2Znak"/>
    <w:semiHidden/>
    <w:qFormat/>
    <w:rsid w:val="00015332"/>
    <w:pPr>
      <w:spacing w:before="120" w:after="0"/>
      <w:jc w:val="both"/>
    </w:pPr>
    <w:rPr>
      <w:b/>
      <w:bCs/>
      <w:sz w:val="25"/>
      <w:szCs w:val="25"/>
    </w:rPr>
  </w:style>
  <w:style w:type="paragraph" w:styleId="BodyText3">
    <w:name w:val="Body Text 3"/>
    <w:basedOn w:val="Normal"/>
    <w:link w:val="Tekstpodstawowy3Znak"/>
    <w:semiHidden/>
    <w:qFormat/>
    <w:rsid w:val="00015332"/>
    <w:pPr>
      <w:spacing w:before="120" w:after="0"/>
      <w:jc w:val="both"/>
    </w:pPr>
    <w:rPr>
      <w:i/>
      <w:iCs/>
    </w:rPr>
  </w:style>
  <w:style w:type="paragraph" w:styleId="BodyTextIndent2">
    <w:name w:val="Body Text Indent 2"/>
    <w:basedOn w:val="Normal"/>
    <w:link w:val="Tekstpodstawowywcity2Znak"/>
    <w:semiHidden/>
    <w:qFormat/>
    <w:rsid w:val="00015332"/>
    <w:pPr>
      <w:ind w:firstLine="420"/>
    </w:pPr>
    <w:rPr>
      <w:b/>
      <w:bCs/>
      <w:i/>
      <w:iCs/>
    </w:rPr>
  </w:style>
  <w:style w:type="paragraph" w:styleId="BodyTextIndent3">
    <w:name w:val="Body Text Indent 3"/>
    <w:basedOn w:val="Normal"/>
    <w:link w:val="Tekstpodstawowywcity3Znak"/>
    <w:semiHidden/>
    <w:qFormat/>
    <w:rsid w:val="00015332"/>
    <w:pPr>
      <w:spacing w:before="240" w:after="120"/>
      <w:ind w:left="567" w:hanging="567"/>
      <w:jc w:val="both"/>
    </w:pPr>
    <w:rPr>
      <w:sz w:val="22"/>
      <w:szCs w:val="22"/>
    </w:rPr>
  </w:style>
  <w:style w:type="paragraph" w:styleId="PlainText">
    <w:name w:val="Plain Text"/>
    <w:basedOn w:val="Normal"/>
    <w:link w:val="ZwykytekstZnak"/>
    <w:qFormat/>
    <w:rsid w:val="00015332"/>
    <w:pPr/>
    <w:rPr>
      <w:rFonts w:ascii="Courier New" w:hAnsi="Courier New" w:cs="Courier New"/>
      <w:sz w:val="20"/>
      <w:szCs w:val="20"/>
    </w:rPr>
  </w:style>
  <w:style w:type="paragraph" w:styleId="Tytu1" w:customStyle="1">
    <w:name w:val="tytuł"/>
    <w:basedOn w:val="Normal"/>
    <w:autoRedefine/>
    <w:qFormat/>
    <w:rsid w:val="00015332"/>
    <w:pPr>
      <w:jc w:val="center"/>
      <w:outlineLvl w:val="0"/>
    </w:pPr>
    <w:rPr>
      <w:rFonts w:ascii="Verdana" w:hAnsi="Verdana" w:cs="Verdana"/>
      <w:b/>
      <w:bCs/>
      <w:sz w:val="20"/>
      <w:szCs w:val="20"/>
    </w:rPr>
  </w:style>
  <w:style w:type="paragraph" w:styleId="Tekstdokumentu" w:customStyle="1">
    <w:name w:val="tekst dokumentu"/>
    <w:basedOn w:val="Normal"/>
    <w:autoRedefine/>
    <w:uiPriority w:val="99"/>
    <w:qFormat/>
    <w:rsid w:val="00015332"/>
    <w:pPr>
      <w:spacing w:before="120" w:after="120"/>
      <w:jc w:val="center"/>
    </w:pPr>
    <w:rPr>
      <w:rFonts w:ascii="Verdana" w:hAnsi="Verdana" w:cs="Verdana"/>
      <w:b/>
      <w:bCs/>
      <w:sz w:val="18"/>
      <w:szCs w:val="18"/>
    </w:rPr>
  </w:style>
  <w:style w:type="paragraph" w:styleId="Zacznik" w:customStyle="1">
    <w:name w:val="załącznik"/>
    <w:basedOn w:val="Tretekstu"/>
    <w:autoRedefine/>
    <w:qFormat/>
    <w:rsid w:val="00015332"/>
    <w:pPr>
      <w:ind w:left="3480" w:right="-157" w:hanging="1800"/>
      <w:jc w:val="both"/>
    </w:pPr>
    <w:rPr>
      <w:rFonts w:ascii="Times New Roman" w:hAnsi="Times New Roman" w:cs="Times New Roman"/>
    </w:rPr>
  </w:style>
  <w:style w:type="paragraph" w:styleId="Rozdzia" w:customStyle="1">
    <w:name w:val="rozdział"/>
    <w:basedOn w:val="Normal"/>
    <w:autoRedefine/>
    <w:qFormat/>
    <w:rsid w:val="00015332"/>
    <w:pPr>
      <w:ind w:left="709" w:hanging="709"/>
      <w:jc w:val="right"/>
    </w:pPr>
    <w:rPr>
      <w:rFonts w:ascii="Verdana" w:hAnsi="Verdana" w:cs="Verdana"/>
      <w:b/>
      <w:bCs/>
      <w:color w:val="000000"/>
      <w:spacing w:val="4"/>
      <w:sz w:val="18"/>
      <w:szCs w:val="18"/>
    </w:rPr>
  </w:style>
  <w:style w:type="paragraph" w:styleId="Ust" w:customStyle="1">
    <w:name w:val="ust"/>
    <w:qFormat/>
    <w:rsid w:val="00015332"/>
    <w:pPr>
      <w:widowControl/>
      <w:overflowPunct w:val="true"/>
      <w:bidi w:val="0"/>
      <w:spacing w:lineRule="auto" w:line="240" w:before="60" w:after="60"/>
      <w:ind w:left="426" w:hanging="284"/>
      <w:jc w:val="both"/>
    </w:pPr>
    <w:rPr>
      <w:rFonts w:ascii="Times New Roman" w:hAnsi="Times New Roman" w:eastAsia="Times New Roman" w:cs="Times New Roman"/>
      <w:color w:val="auto"/>
      <w:kern w:val="0"/>
      <w:sz w:val="24"/>
      <w:szCs w:val="24"/>
      <w:lang w:eastAsia="pl-PL" w:val="pl-PL" w:bidi="ar-SA"/>
    </w:rPr>
  </w:style>
  <w:style w:type="paragraph" w:styleId="Pkt" w:customStyle="1">
    <w:name w:val="pkt"/>
    <w:basedOn w:val="Normal"/>
    <w:uiPriority w:val="99"/>
    <w:qFormat/>
    <w:rsid w:val="00015332"/>
    <w:pPr>
      <w:overflowPunct w:val="true"/>
      <w:spacing w:before="60" w:after="60"/>
      <w:ind w:left="851" w:hanging="295"/>
      <w:jc w:val="both"/>
    </w:pPr>
    <w:rPr/>
  </w:style>
  <w:style w:type="paragraph" w:styleId="Pkt1" w:customStyle="1">
    <w:name w:val="pkt1"/>
    <w:basedOn w:val="Pkt"/>
    <w:qFormat/>
    <w:rsid w:val="00015332"/>
    <w:pPr>
      <w:ind w:left="850" w:hanging="425"/>
    </w:pPr>
    <w:rPr/>
  </w:style>
  <w:style w:type="paragraph" w:styleId="Numerowanie" w:customStyle="1">
    <w:name w:val="numerowanie"/>
    <w:basedOn w:val="Normal"/>
    <w:autoRedefine/>
    <w:qFormat/>
    <w:rsid w:val="00015332"/>
    <w:pPr>
      <w:jc w:val="both"/>
    </w:pPr>
    <w:rPr/>
  </w:style>
  <w:style w:type="paragraph" w:styleId="Nagwekstrony" w:customStyle="1">
    <w:name w:val="Nag?—wek strony"/>
    <w:basedOn w:val="Normal"/>
    <w:qFormat/>
    <w:rsid w:val="00015332"/>
    <w:pPr>
      <w:tabs>
        <w:tab w:val="center" w:pos="4153" w:leader="none"/>
        <w:tab w:val="right" w:pos="8306" w:leader="none"/>
      </w:tabs>
    </w:pPr>
    <w:rPr>
      <w:sz w:val="20"/>
      <w:szCs w:val="20"/>
      <w:lang w:val="en-GB"/>
    </w:rPr>
  </w:style>
  <w:style w:type="paragraph" w:styleId="Tabulka" w:customStyle="1">
    <w:name w:val="tabulka"/>
    <w:basedOn w:val="Normal"/>
    <w:qFormat/>
    <w:rsid w:val="00015332"/>
    <w:pPr>
      <w:widowControl w:val="false"/>
      <w:spacing w:lineRule="exact" w:line="240" w:before="120" w:after="0"/>
      <w:jc w:val="center"/>
    </w:pPr>
    <w:rPr>
      <w:rFonts w:ascii="Arial" w:hAnsi="Arial" w:cs="Arial"/>
      <w:sz w:val="20"/>
      <w:szCs w:val="20"/>
      <w:lang w:val="cs-CZ"/>
    </w:rPr>
  </w:style>
  <w:style w:type="paragraph" w:styleId="A" w:customStyle="1">
    <w:name w:val="A"/>
    <w:qFormat/>
    <w:rsid w:val="00015332"/>
    <w:pPr>
      <w:keepNext w:val="true"/>
      <w:widowControl/>
      <w:bidi w:val="0"/>
      <w:spacing w:lineRule="exact" w:line="240" w:before="240" w:after="0"/>
      <w:ind w:left="720" w:hanging="720"/>
      <w:jc w:val="both"/>
    </w:pPr>
    <w:rPr>
      <w:rFonts w:ascii="Times New Roman" w:hAnsi="Times New Roman" w:eastAsia="Times New Roman" w:cs="Times New Roman"/>
      <w:color w:val="auto"/>
      <w:kern w:val="0"/>
      <w:sz w:val="24"/>
      <w:szCs w:val="24"/>
      <w:lang w:val="en-GB" w:eastAsia="en-US" w:bidi="ar-SA"/>
    </w:rPr>
  </w:style>
  <w:style w:type="paragraph" w:styleId="Tekstprzypisukocowego1" w:customStyle="1">
    <w:name w:val="Tekst przypisu końcowego1"/>
    <w:basedOn w:val="Normal"/>
    <w:qFormat/>
    <w:rsid w:val="00015332"/>
    <w:pPr>
      <w:spacing w:before="120" w:after="0"/>
    </w:pPr>
    <w:rPr>
      <w:sz w:val="20"/>
      <w:szCs w:val="20"/>
    </w:rPr>
  </w:style>
  <w:style w:type="paragraph" w:styleId="Text1" w:customStyle="1">
    <w:name w:val="Text_1"/>
    <w:basedOn w:val="Normal"/>
    <w:qFormat/>
    <w:rsid w:val="00015332"/>
    <w:pPr>
      <w:spacing w:before="0" w:after="120"/>
      <w:ind w:left="425" w:hanging="425"/>
      <w:jc w:val="both"/>
    </w:pPr>
    <w:rPr>
      <w:sz w:val="22"/>
      <w:szCs w:val="22"/>
    </w:rPr>
  </w:style>
  <w:style w:type="paragraph" w:styleId="B" w:customStyle="1">
    <w:name w:val="B"/>
    <w:qFormat/>
    <w:rsid w:val="00015332"/>
    <w:pPr>
      <w:widowControl/>
      <w:bidi w:val="0"/>
      <w:spacing w:lineRule="exact" w:line="240" w:before="240" w:after="0"/>
      <w:ind w:left="720" w:hanging="0"/>
      <w:jc w:val="both"/>
    </w:pPr>
    <w:rPr>
      <w:rFonts w:ascii="Times New Roman" w:hAnsi="Times New Roman" w:eastAsia="Times New Roman" w:cs="Times New Roman"/>
      <w:color w:val="auto"/>
      <w:kern w:val="0"/>
      <w:sz w:val="24"/>
      <w:szCs w:val="24"/>
      <w:lang w:val="en-GB" w:eastAsia="en-US" w:bidi="ar-SA"/>
    </w:rPr>
  </w:style>
  <w:style w:type="paragraph" w:styleId="BalloonText">
    <w:name w:val="Balloon Text"/>
    <w:basedOn w:val="Normal"/>
    <w:link w:val="TekstdymkaZnak"/>
    <w:semiHidden/>
    <w:qFormat/>
    <w:rsid w:val="00015332"/>
    <w:pPr/>
    <w:rPr>
      <w:rFonts w:ascii="Tahoma" w:hAnsi="Tahoma" w:cs="Tahoma"/>
      <w:sz w:val="16"/>
      <w:szCs w:val="16"/>
    </w:rPr>
  </w:style>
  <w:style w:type="paragraph" w:styleId="Annotationtext">
    <w:name w:val="annotation text"/>
    <w:basedOn w:val="Normal"/>
    <w:link w:val="TekstkomentarzaZnak"/>
    <w:semiHidden/>
    <w:qFormat/>
    <w:rsid w:val="00015332"/>
    <w:pPr/>
    <w:rPr>
      <w:sz w:val="20"/>
      <w:szCs w:val="20"/>
    </w:rPr>
  </w:style>
  <w:style w:type="paragraph" w:styleId="Annotationsubject">
    <w:name w:val="annotation subject"/>
    <w:basedOn w:val="Annotationtext"/>
    <w:link w:val="TematkomentarzaZnak"/>
    <w:semiHidden/>
    <w:qFormat/>
    <w:rsid w:val="00015332"/>
    <w:pPr/>
    <w:rPr>
      <w:b/>
      <w:bCs/>
    </w:rPr>
  </w:style>
  <w:style w:type="paragraph" w:styleId="Tekstpodstawowy31" w:customStyle="1">
    <w:name w:val="Tekst podstawowy 31"/>
    <w:basedOn w:val="Normal"/>
    <w:qFormat/>
    <w:rsid w:val="00015332"/>
    <w:pPr>
      <w:overflowPunct w:val="true"/>
      <w:jc w:val="both"/>
      <w:textAlignment w:val="baseline"/>
    </w:pPr>
    <w:rPr/>
  </w:style>
  <w:style w:type="paragraph" w:styleId="WP1Tekstpodstawowy" w:customStyle="1">
    <w:name w:val="WP1 Tekst podstawowy"/>
    <w:basedOn w:val="BodyText3"/>
    <w:qFormat/>
    <w:rsid w:val="00015332"/>
    <w:pPr/>
    <w:rPr>
      <w:rFonts w:ascii="Arial" w:hAnsi="Arial" w:cs="Arial"/>
      <w:i w:val="false"/>
      <w:iCs w:val="false"/>
      <w:sz w:val="20"/>
      <w:szCs w:val="20"/>
    </w:rPr>
  </w:style>
  <w:style w:type="paragraph" w:styleId="Trescznumztab" w:customStyle="1">
    <w:name w:val="Tresc z num. z tab."/>
    <w:basedOn w:val="Normal"/>
    <w:qFormat/>
    <w:rsid w:val="00015332"/>
    <w:pPr>
      <w:widowControl w:val="false"/>
      <w:tabs>
        <w:tab w:val="left" w:pos="567" w:leader="none"/>
        <w:tab w:val="left" w:pos="5103" w:leader="none"/>
        <w:tab w:val="left" w:pos="6804" w:leader="none"/>
        <w:tab w:val="right" w:pos="8505" w:leader="none"/>
      </w:tabs>
      <w:spacing w:lineRule="auto" w:line="300" w:before="0" w:after="120"/>
    </w:pPr>
    <w:rPr/>
  </w:style>
  <w:style w:type="paragraph" w:styleId="Tresc" w:customStyle="1">
    <w:name w:val="Tresc"/>
    <w:basedOn w:val="Normal"/>
    <w:qFormat/>
    <w:rsid w:val="00015332"/>
    <w:pPr>
      <w:spacing w:lineRule="auto" w:line="300" w:before="0" w:after="120"/>
      <w:jc w:val="both"/>
    </w:pPr>
    <w:rPr/>
  </w:style>
  <w:style w:type="paragraph" w:styleId="Styl" w:customStyle="1">
    <w:name w:val="Styl"/>
    <w:basedOn w:val="Normal"/>
    <w:qFormat/>
    <w:rsid w:val="00015332"/>
    <w:pPr/>
    <w:rPr/>
  </w:style>
  <w:style w:type="paragraph" w:styleId="Przypisdolny">
    <w:name w:val="Footnote Text"/>
    <w:basedOn w:val="Normal"/>
    <w:link w:val="TekstprzypisudolnegoZnak"/>
    <w:rsid w:val="00015332"/>
    <w:pPr/>
    <w:rPr>
      <w:sz w:val="20"/>
      <w:szCs w:val="20"/>
    </w:rPr>
  </w:style>
  <w:style w:type="paragraph" w:styleId="Style7" w:customStyle="1">
    <w:name w:val="Style7"/>
    <w:basedOn w:val="Normal"/>
    <w:qFormat/>
    <w:rsid w:val="00015332"/>
    <w:pPr>
      <w:widowControl w:val="false"/>
      <w:jc w:val="both"/>
    </w:pPr>
    <w:rPr/>
  </w:style>
  <w:style w:type="paragraph" w:styleId="Style9" w:customStyle="1">
    <w:name w:val="Style9"/>
    <w:basedOn w:val="Normal"/>
    <w:qFormat/>
    <w:rsid w:val="00015332"/>
    <w:pPr>
      <w:widowControl w:val="false"/>
      <w:spacing w:lineRule="exact" w:line="413"/>
      <w:jc w:val="right"/>
    </w:pPr>
    <w:rPr/>
  </w:style>
  <w:style w:type="paragraph" w:styleId="Style10" w:customStyle="1">
    <w:name w:val="Style10"/>
    <w:basedOn w:val="Normal"/>
    <w:qFormat/>
    <w:rsid w:val="00015332"/>
    <w:pPr>
      <w:widowControl w:val="false"/>
      <w:jc w:val="both"/>
    </w:pPr>
    <w:rPr/>
  </w:style>
  <w:style w:type="paragraph" w:styleId="Style12" w:customStyle="1">
    <w:name w:val="Style12"/>
    <w:basedOn w:val="Normal"/>
    <w:qFormat/>
    <w:rsid w:val="00015332"/>
    <w:pPr>
      <w:widowControl w:val="false"/>
    </w:pPr>
    <w:rPr/>
  </w:style>
  <w:style w:type="paragraph" w:styleId="Style14" w:customStyle="1">
    <w:name w:val="Style14"/>
    <w:basedOn w:val="Normal"/>
    <w:qFormat/>
    <w:rsid w:val="00015332"/>
    <w:pPr>
      <w:widowControl w:val="false"/>
      <w:spacing w:lineRule="exact" w:line="274"/>
      <w:ind w:hanging="1800"/>
      <w:jc w:val="both"/>
    </w:pPr>
    <w:rPr/>
  </w:style>
  <w:style w:type="paragraph" w:styleId="Style15" w:customStyle="1">
    <w:name w:val="Style15"/>
    <w:basedOn w:val="Normal"/>
    <w:qFormat/>
    <w:rsid w:val="00015332"/>
    <w:pPr>
      <w:widowControl w:val="false"/>
      <w:spacing w:lineRule="exact" w:line="275"/>
      <w:ind w:hanging="1675"/>
    </w:pPr>
    <w:rPr/>
  </w:style>
  <w:style w:type="paragraph" w:styleId="Style24" w:customStyle="1">
    <w:name w:val="Style24"/>
    <w:basedOn w:val="Normal"/>
    <w:qFormat/>
    <w:rsid w:val="00015332"/>
    <w:pPr>
      <w:widowControl w:val="false"/>
      <w:jc w:val="both"/>
    </w:pPr>
    <w:rPr/>
  </w:style>
  <w:style w:type="paragraph" w:styleId="Style25" w:customStyle="1">
    <w:name w:val="Style25"/>
    <w:basedOn w:val="Normal"/>
    <w:qFormat/>
    <w:rsid w:val="00015332"/>
    <w:pPr>
      <w:widowControl w:val="false"/>
      <w:spacing w:lineRule="exact" w:line="275"/>
    </w:pPr>
    <w:rPr/>
  </w:style>
  <w:style w:type="paragraph" w:styleId="Style40" w:customStyle="1">
    <w:name w:val="Style40"/>
    <w:basedOn w:val="Normal"/>
    <w:uiPriority w:val="99"/>
    <w:qFormat/>
    <w:rsid w:val="00015332"/>
    <w:pPr>
      <w:widowControl w:val="false"/>
      <w:spacing w:lineRule="exact" w:line="446"/>
      <w:ind w:firstLine="2122"/>
    </w:pPr>
    <w:rPr/>
  </w:style>
  <w:style w:type="paragraph" w:styleId="Style41" w:customStyle="1">
    <w:name w:val="Style41"/>
    <w:basedOn w:val="Normal"/>
    <w:uiPriority w:val="99"/>
    <w:qFormat/>
    <w:rsid w:val="00015332"/>
    <w:pPr>
      <w:widowControl w:val="false"/>
      <w:spacing w:lineRule="exact" w:line="281"/>
      <w:ind w:hanging="178"/>
      <w:jc w:val="both"/>
    </w:pPr>
    <w:rPr/>
  </w:style>
  <w:style w:type="paragraph" w:styleId="Style45" w:customStyle="1">
    <w:name w:val="Style45"/>
    <w:basedOn w:val="Normal"/>
    <w:qFormat/>
    <w:rsid w:val="00015332"/>
    <w:pPr>
      <w:widowControl w:val="false"/>
      <w:spacing w:lineRule="exact" w:line="226"/>
    </w:pPr>
    <w:rPr/>
  </w:style>
  <w:style w:type="paragraph" w:styleId="Style46" w:customStyle="1">
    <w:name w:val="Style46"/>
    <w:basedOn w:val="Normal"/>
    <w:qFormat/>
    <w:rsid w:val="00015332"/>
    <w:pPr>
      <w:widowControl w:val="false"/>
      <w:spacing w:lineRule="exact" w:line="374"/>
    </w:pPr>
    <w:rPr/>
  </w:style>
  <w:style w:type="paragraph" w:styleId="Style47" w:customStyle="1">
    <w:name w:val="Style47"/>
    <w:basedOn w:val="Normal"/>
    <w:qFormat/>
    <w:rsid w:val="00015332"/>
    <w:pPr>
      <w:widowControl w:val="false"/>
    </w:pPr>
    <w:rPr/>
  </w:style>
  <w:style w:type="paragraph" w:styleId="Style53" w:customStyle="1">
    <w:name w:val="Style53"/>
    <w:basedOn w:val="Normal"/>
    <w:qFormat/>
    <w:rsid w:val="00015332"/>
    <w:pPr>
      <w:widowControl w:val="false"/>
    </w:pPr>
    <w:rPr/>
  </w:style>
  <w:style w:type="paragraph" w:styleId="Style64" w:customStyle="1">
    <w:name w:val="Style64"/>
    <w:basedOn w:val="Normal"/>
    <w:qFormat/>
    <w:rsid w:val="00015332"/>
    <w:pPr>
      <w:widowControl w:val="false"/>
      <w:spacing w:lineRule="exact" w:line="230"/>
      <w:jc w:val="center"/>
    </w:pPr>
    <w:rPr/>
  </w:style>
  <w:style w:type="paragraph" w:styleId="Akapitzlist1" w:customStyle="1">
    <w:name w:val="Akapit z listą1"/>
    <w:basedOn w:val="Normal"/>
    <w:qFormat/>
    <w:rsid w:val="00015332"/>
    <w:pPr>
      <w:ind w:left="708" w:hanging="0"/>
    </w:pPr>
    <w:rPr/>
  </w:style>
  <w:style w:type="paragraph" w:styleId="Style27" w:customStyle="1">
    <w:name w:val="Style27"/>
    <w:basedOn w:val="Normal"/>
    <w:qFormat/>
    <w:rsid w:val="00015332"/>
    <w:pPr>
      <w:widowControl w:val="false"/>
      <w:spacing w:lineRule="exact" w:line="274"/>
      <w:jc w:val="both"/>
    </w:pPr>
    <w:rPr/>
  </w:style>
  <w:style w:type="paragraph" w:styleId="Danka1" w:customStyle="1">
    <w:name w:val="danka1"/>
    <w:basedOn w:val="Normal"/>
    <w:qFormat/>
    <w:rsid w:val="00015332"/>
    <w:pPr>
      <w:keepNext w:val="true"/>
      <w:tabs>
        <w:tab w:val="left" w:pos="567" w:leader="none"/>
      </w:tabs>
      <w:spacing w:lineRule="auto" w:line="360"/>
      <w:ind w:right="-2" w:hanging="0"/>
      <w:jc w:val="center"/>
    </w:pPr>
    <w:rPr>
      <w:rFonts w:ascii="Verdana" w:hAnsi="Verdana" w:cs="Verdana"/>
      <w:b/>
      <w:bCs/>
      <w:sz w:val="18"/>
      <w:szCs w:val="18"/>
    </w:rPr>
  </w:style>
  <w:style w:type="paragraph" w:styleId="Przypiskocowy">
    <w:name w:val="Endnote Text"/>
    <w:basedOn w:val="Normal"/>
    <w:link w:val="TekstprzypisukocowegoZnak"/>
    <w:semiHidden/>
    <w:rsid w:val="00015332"/>
    <w:pPr/>
    <w:rPr>
      <w:sz w:val="20"/>
      <w:szCs w:val="20"/>
    </w:rPr>
  </w:style>
  <w:style w:type="paragraph" w:styleId="ListParagraph">
    <w:name w:val="List Paragraph"/>
    <w:basedOn w:val="Normal"/>
    <w:link w:val="AkapitzlistZnak"/>
    <w:uiPriority w:val="34"/>
    <w:qFormat/>
    <w:rsid w:val="00015332"/>
    <w:pPr>
      <w:spacing w:lineRule="auto" w:line="276"/>
      <w:ind w:left="720" w:hanging="0"/>
    </w:pPr>
    <w:rPr>
      <w:rFonts w:ascii="Arial" w:hAnsi="Arial" w:cs="Arial"/>
      <w:sz w:val="22"/>
      <w:szCs w:val="22"/>
      <w:lang w:eastAsia="en-US"/>
    </w:rPr>
  </w:style>
  <w:style w:type="paragraph" w:styleId="Zwykytekst1" w:customStyle="1">
    <w:name w:val="Zwykły tekst1"/>
    <w:basedOn w:val="Normal"/>
    <w:qFormat/>
    <w:rsid w:val="00015332"/>
    <w:pPr>
      <w:suppressAutoHyphens w:val="true"/>
    </w:pPr>
    <w:rPr>
      <w:rFonts w:ascii="Courier New" w:hAnsi="Courier New" w:cs="Courier New"/>
      <w:sz w:val="20"/>
      <w:szCs w:val="20"/>
      <w:lang w:eastAsia="ar-SA"/>
    </w:rPr>
  </w:style>
  <w:style w:type="paragraph" w:styleId="Tekstpodstawowy22" w:customStyle="1">
    <w:name w:val="Tekst podstawowy 22"/>
    <w:basedOn w:val="Normal"/>
    <w:qFormat/>
    <w:rsid w:val="00015332"/>
    <w:pPr>
      <w:suppressAutoHyphens w:val="true"/>
      <w:jc w:val="both"/>
    </w:pPr>
    <w:rPr>
      <w:lang w:eastAsia="ar-SA"/>
    </w:rPr>
  </w:style>
  <w:style w:type="paragraph" w:styleId="Style19" w:customStyle="1">
    <w:name w:val="Style19"/>
    <w:basedOn w:val="Normal"/>
    <w:uiPriority w:val="99"/>
    <w:qFormat/>
    <w:rsid w:val="00015332"/>
    <w:pPr>
      <w:widowControl w:val="false"/>
    </w:pPr>
    <w:rPr>
      <w:rFonts w:ascii="Verdana" w:hAnsi="Verdana"/>
    </w:rPr>
  </w:style>
  <w:style w:type="paragraph" w:styleId="Style31" w:customStyle="1">
    <w:name w:val="Style31"/>
    <w:basedOn w:val="Normal"/>
    <w:uiPriority w:val="99"/>
    <w:qFormat/>
    <w:rsid w:val="00015332"/>
    <w:pPr>
      <w:widowControl w:val="false"/>
      <w:spacing w:lineRule="exact" w:line="202"/>
      <w:ind w:firstLine="223"/>
      <w:jc w:val="both"/>
    </w:pPr>
    <w:rPr>
      <w:rFonts w:ascii="Verdana" w:hAnsi="Verdana"/>
    </w:rPr>
  </w:style>
  <w:style w:type="paragraph" w:styleId="Style61" w:customStyle="1">
    <w:name w:val="Style61"/>
    <w:basedOn w:val="Normal"/>
    <w:uiPriority w:val="99"/>
    <w:qFormat/>
    <w:rsid w:val="00015332"/>
    <w:pPr>
      <w:widowControl w:val="false"/>
      <w:spacing w:lineRule="exact" w:line="230"/>
      <w:ind w:hanging="1570"/>
      <w:jc w:val="both"/>
    </w:pPr>
    <w:rPr>
      <w:rFonts w:ascii="Verdana" w:hAnsi="Verdana"/>
    </w:rPr>
  </w:style>
  <w:style w:type="paragraph" w:styleId="Style71" w:customStyle="1">
    <w:name w:val="Style71"/>
    <w:basedOn w:val="Normal"/>
    <w:uiPriority w:val="99"/>
    <w:qFormat/>
    <w:rsid w:val="00015332"/>
    <w:pPr>
      <w:widowControl w:val="false"/>
      <w:spacing w:lineRule="exact" w:line="227"/>
      <w:ind w:hanging="1577"/>
    </w:pPr>
    <w:rPr>
      <w:rFonts w:ascii="Verdana" w:hAnsi="Verdana"/>
    </w:rPr>
  </w:style>
  <w:style w:type="paragraph" w:styleId="Podtytu">
    <w:name w:val="Subtitle"/>
    <w:basedOn w:val="Normal"/>
    <w:link w:val="PodtytuZnak"/>
    <w:qFormat/>
    <w:rsid w:val="00015332"/>
    <w:pPr>
      <w:keepNext w:val="true"/>
      <w:suppressAutoHyphens w:val="true"/>
      <w:spacing w:before="240" w:after="120"/>
      <w:jc w:val="center"/>
    </w:pPr>
    <w:rPr>
      <w:rFonts w:ascii="Arial" w:hAnsi="Arial" w:eastAsia="DejaVu Sans" w:cs="DejaVu Sans"/>
      <w:i/>
      <w:iCs/>
      <w:sz w:val="28"/>
      <w:szCs w:val="28"/>
      <w:lang w:eastAsia="ar-SA"/>
    </w:rPr>
  </w:style>
  <w:style w:type="paragraph" w:styleId="Tekstpodstawowy21" w:customStyle="1">
    <w:name w:val="Tekst podstawowy 21"/>
    <w:basedOn w:val="Normal"/>
    <w:qFormat/>
    <w:rsid w:val="00015332"/>
    <w:pPr>
      <w:suppressAutoHyphens w:val="true"/>
      <w:spacing w:before="120" w:after="0"/>
      <w:jc w:val="both"/>
    </w:pPr>
    <w:rPr>
      <w:b/>
      <w:bCs/>
      <w:sz w:val="25"/>
      <w:lang w:eastAsia="ar-SA"/>
    </w:rPr>
  </w:style>
  <w:style w:type="paragraph" w:styleId="Style21" w:customStyle="1">
    <w:name w:val="Style 2"/>
    <w:uiPriority w:val="99"/>
    <w:qFormat/>
    <w:rsid w:val="00015332"/>
    <w:pPr>
      <w:widowControl w:val="false"/>
      <w:bidi w:val="0"/>
      <w:spacing w:lineRule="auto" w:line="240" w:before="0" w:after="0"/>
      <w:jc w:val="left"/>
    </w:pPr>
    <w:rPr>
      <w:rFonts w:ascii="Times New Roman" w:hAnsi="Times New Roman" w:eastAsia="Times New Roman" w:cs="Times New Roman"/>
      <w:color w:val="auto"/>
      <w:kern w:val="0"/>
      <w:sz w:val="20"/>
      <w:szCs w:val="20"/>
      <w:lang w:val="en-US" w:eastAsia="pl-PL" w:bidi="ar-SA"/>
    </w:rPr>
  </w:style>
  <w:style w:type="paragraph" w:styleId="Styl1" w:customStyle="1">
    <w:name w:val="Styl1"/>
    <w:basedOn w:val="Normal"/>
    <w:qFormat/>
    <w:rsid w:val="003351c2"/>
    <w:pPr>
      <w:jc w:val="both"/>
    </w:pPr>
    <w:rPr>
      <w:rFonts w:ascii="Arial" w:hAnsi="Arial"/>
      <w:sz w:val="22"/>
      <w:szCs w:val="20"/>
    </w:rPr>
  </w:style>
  <w:style w:type="paragraph" w:styleId="Standard" w:customStyle="1">
    <w:name w:val="Standard"/>
    <w:qFormat/>
    <w:rsid w:val="00b45407"/>
    <w:pPr>
      <w:widowControl/>
      <w:suppressAutoHyphens w:val="true"/>
      <w:bidi w:val="0"/>
      <w:spacing w:lineRule="auto" w:line="240" w:before="0" w:after="0"/>
      <w:jc w:val="left"/>
    </w:pPr>
    <w:rPr>
      <w:rFonts w:ascii="Times New Roman" w:hAnsi="Times New Roman" w:eastAsia="Arial" w:cs="Times New Roman"/>
      <w:color w:val="auto"/>
      <w:kern w:val="0"/>
      <w:sz w:val="24"/>
      <w:szCs w:val="20"/>
      <w:lang w:eastAsia="ar-SA" w:val="pl-PL" w:bidi="ar-SA"/>
    </w:rPr>
  </w:style>
  <w:style w:type="paragraph" w:styleId="Default" w:customStyle="1">
    <w:name w:val="Default"/>
    <w:qFormat/>
    <w:rsid w:val="00fa7baa"/>
    <w:pPr>
      <w:widowControl w:val="false"/>
      <w:bidi w:val="0"/>
      <w:spacing w:lineRule="auto" w:line="240" w:before="0" w:after="0"/>
      <w:jc w:val="left"/>
    </w:pPr>
    <w:rPr>
      <w:rFonts w:ascii="Times New Roman" w:hAnsi="Times New Roman" w:eastAsia="Times New Roman" w:cs="Times New Roman"/>
      <w:color w:val="000000"/>
      <w:kern w:val="0"/>
      <w:sz w:val="24"/>
      <w:szCs w:val="24"/>
      <w:lang w:eastAsia="pl-PL" w:val="pl-PL" w:bidi="ar-SA"/>
    </w:rPr>
  </w:style>
  <w:style w:type="paragraph" w:styleId="CM6" w:customStyle="1">
    <w:name w:val="CM6"/>
    <w:basedOn w:val="Default"/>
    <w:next w:val="Default"/>
    <w:uiPriority w:val="99"/>
    <w:qFormat/>
    <w:rsid w:val="00fa7baa"/>
    <w:pPr>
      <w:spacing w:lineRule="atLeast" w:line="278"/>
    </w:pPr>
    <w:rPr>
      <w:color w:val="00000A"/>
    </w:rPr>
  </w:style>
  <w:style w:type="paragraph" w:styleId="CM7" w:customStyle="1">
    <w:name w:val="CM7"/>
    <w:basedOn w:val="Default"/>
    <w:next w:val="Default"/>
    <w:uiPriority w:val="99"/>
    <w:qFormat/>
    <w:rsid w:val="00fa7baa"/>
    <w:pPr>
      <w:spacing w:lineRule="atLeast" w:line="278"/>
    </w:pPr>
    <w:rPr>
      <w:color w:val="00000A"/>
    </w:rPr>
  </w:style>
  <w:style w:type="paragraph" w:styleId="CM17" w:customStyle="1">
    <w:name w:val="CM17"/>
    <w:basedOn w:val="Default"/>
    <w:next w:val="Default"/>
    <w:qFormat/>
    <w:rsid w:val="00b45fab"/>
    <w:pPr>
      <w:spacing w:lineRule="atLeast" w:line="276"/>
    </w:pPr>
    <w:rPr>
      <w:color w:val="00000A"/>
    </w:rPr>
  </w:style>
  <w:style w:type="paragraph" w:styleId="CM19" w:customStyle="1">
    <w:name w:val="CM19"/>
    <w:basedOn w:val="Default"/>
    <w:next w:val="Default"/>
    <w:qFormat/>
    <w:rsid w:val="00b45fab"/>
    <w:pPr>
      <w:spacing w:lineRule="atLeast" w:line="276"/>
    </w:pPr>
    <w:rPr>
      <w:color w:val="00000A"/>
    </w:rPr>
  </w:style>
  <w:style w:type="paragraph" w:styleId="NoSpacing">
    <w:name w:val="No Spacing"/>
    <w:link w:val="BezodstpwZnak"/>
    <w:uiPriority w:val="1"/>
    <w:qFormat/>
    <w:rsid w:val="00752377"/>
    <w:pPr>
      <w:widowControl/>
      <w:bidi w:val="0"/>
      <w:spacing w:lineRule="auto" w:line="240" w:before="0" w:after="0"/>
      <w:jc w:val="left"/>
    </w:pPr>
    <w:rPr>
      <w:rFonts w:eastAsia="" w:eastAsiaTheme="minorEastAsia" w:ascii="Calibri" w:hAnsi="Calibri" w:cs=""/>
      <w:color w:val="auto"/>
      <w:kern w:val="0"/>
      <w:sz w:val="24"/>
      <w:szCs w:val="22"/>
      <w:lang w:val="pl-PL" w:eastAsia="en-US" w:bidi="ar-SA"/>
    </w:rPr>
  </w:style>
  <w:style w:type="paragraph" w:styleId="ZnakZnakZnakZnak" w:customStyle="1">
    <w:name w:val="Znak Znak Znak Znak"/>
    <w:basedOn w:val="Normal"/>
    <w:qFormat/>
    <w:rsid w:val="007d7da4"/>
    <w:pPr>
      <w:spacing w:lineRule="exact" w:line="240" w:before="0" w:after="160"/>
    </w:pPr>
    <w:rPr>
      <w:rFonts w:ascii="Tahoma" w:hAnsi="Tahoma"/>
      <w:sz w:val="20"/>
      <w:szCs w:val="20"/>
      <w:lang w:val="en-US" w:eastAsia="en-US"/>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ca77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tif"/><Relationship Id="rId4" Type="http://schemas.openxmlformats.org/officeDocument/2006/relationships/image" Target="media/image3.png"/><Relationship Id="rId5" Type="http://schemas.openxmlformats.org/officeDocument/2006/relationships/hyperlink" Target="http://www.bip.wrota.lubuskie.pl/ugzwierzyn"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78D7C-A95D-4A34-B14C-5A90C55C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2648</TotalTime>
  <Application>LibreOffice/6.0.3.2$Windows_X86_64 LibreOffice_project/8f48d515416608e3a835360314dac7e47fd0b821</Application>
  <Pages>22</Pages>
  <Words>7212</Words>
  <Characters>46017</Characters>
  <CharactersWithSpaces>53267</CharactersWithSpaces>
  <Paragraphs>363</Paragraphs>
  <Company>MZGK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2016-10-12T09:32:00Z</dcterms:created>
  <dc:creator>mikolaj.budzinski</dc:creator>
  <dc:description/>
  <dc:language>pl-PL</dc:language>
  <cp:lastModifiedBy/>
  <cp:lastPrinted>2018-07-13T11:02:04Z</cp:lastPrinted>
  <dcterms:modified xsi:type="dcterms:W3CDTF">2018-07-13T11:24:50Z</dcterms:modified>
  <cp:revision>145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MZGK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